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9" w:name="X4bcc524ad4e5f4a7fd65f5fa61aaf97c4ecb0c3"/>
    <w:p>
      <w:pPr>
        <w:pStyle w:val="Heading1"/>
      </w:pPr>
      <w:r>
        <w:t xml:space="preserve">AI Governance, Evidence and Dispute Resolution: Themes for ADR Institutions</w:t>
      </w:r>
    </w:p>
    <w:p>
      <w:pPr>
        <w:pStyle w:val="FirstParagraph"/>
      </w:pPr>
      <w:r>
        <w:rPr>
          <w:bCs/>
          <w:b/>
        </w:rPr>
        <w:t xml:space="preserve">Ranse Howell — October 2026</w:t>
      </w:r>
    </w:p>
    <w:p>
      <w:r>
        <w:pict>
          <v:rect style="width:0;height:1.5pt" o:hralign="center" o:hrstd="t" o:hr="t"/>
        </w:pict>
      </w:r>
    </w:p>
    <w:bookmarkStart w:id="21" w:name="introduction"/>
    <w:p>
      <w:pPr>
        <w:pStyle w:val="Heading2"/>
      </w:pPr>
      <w:r>
        <w:t xml:space="preserve">Introduction</w:t>
      </w:r>
    </w:p>
    <w:p>
      <w:pPr>
        <w:pStyle w:val="FirstParagraph"/>
      </w:pPr>
      <w:r>
        <w:t xml:space="preserve">This year has seen a significant acceleration in the way governments, courts and commercial markets are defining what counts as accountable AI. For organisations involved in alternative dispute resolution — whether administering proceedings, sitting as neutrals, or advising parties — several of these developments intersect directly with the work they do.</w:t>
      </w:r>
    </w:p>
    <w:p>
      <w:pPr>
        <w:pStyle w:val="BodyText"/>
      </w:pPr>
      <w:r>
        <w:t xml:space="preserve">This paper does not presume to describe any particular institution’s practice. It identifies themes that have emerged across the United States, the United Kingdom and the European Union, and draws out the indicators that suggest ADR institutions will increasingly find themselves at the centre of the AI accountability conversation — not only as forums for disputes about AI, but as users of AI tools that may themselves come under regulatory scrutiny.</w:t>
      </w:r>
    </w:p>
    <w:p>
      <w:pPr>
        <w:pStyle w:val="BodyText"/>
      </w:pPr>
      <w:r>
        <w:t xml:space="preserve">The observations here draw on the regulatory developments covered in my October 2026 update (</w:t>
      </w:r>
      <w:r>
        <w:rPr>
          <w:iCs/>
          <w:i/>
        </w:rPr>
        <w:t xml:space="preserve">Navigating Federal/State AI Governance and Compliance</w:t>
      </w:r>
      <w:r>
        <w:t xml:space="preserve">), as well as institutional guidance published by arbitral bodies, government consultation documents, and the emerging evidence standards that are beginning to shape how AI-assisted processes are recorded and challenged. Where relevant, links point to the underlying sources or to</w:t>
      </w:r>
      <w:r>
        <w:t xml:space="preserve"> </w:t>
      </w:r>
      <w:hyperlink r:id="rId20">
        <w:r>
          <w:rPr>
            <w:rStyle w:val="Hyperlink"/>
          </w:rPr>
          <w:t xml:space="preserve">regitech.ai/regulatory-landscape</w:t>
        </w:r>
      </w:hyperlink>
      <w:r>
        <w:t xml:space="preserve"> </w:t>
      </w:r>
      <w:r>
        <w:t xml:space="preserve">for a broader jurisdictional overview.</w:t>
      </w:r>
    </w:p>
    <w:p>
      <w:r>
        <w:pict>
          <v:rect style="width:0;height:1.5pt" o:hralign="center" o:hrstd="t" o:hr="t"/>
        </w:pict>
      </w:r>
    </w:p>
    <w:bookmarkEnd w:id="21"/>
    <w:bookmarkStart w:id="27" w:name="Xa8646250a0d75f4294599955779ef2ecdaf0c32"/>
    <w:p>
      <w:pPr>
        <w:pStyle w:val="Heading2"/>
      </w:pPr>
      <w:r>
        <w:t xml:space="preserve">1. The EU AI Act and ADR: A Classification That Demands Attention</w:t>
      </w:r>
    </w:p>
    <w:p>
      <w:pPr>
        <w:pStyle w:val="FirstParagraph"/>
      </w:pPr>
      <w:r>
        <w:t xml:space="preserve">The European Union’s AI Act (Regulation 2024/1689) entered into force on August 1, 2024. Its treatment of artificial intelligence in dispute resolution is among the most consequential — and most debated — provisions for the ADR community.</w:t>
      </w:r>
    </w:p>
    <w:bookmarkStart w:id="22" w:name="what-the-act-says"/>
    <w:p>
      <w:pPr>
        <w:pStyle w:val="Heading3"/>
      </w:pPr>
      <w:r>
        <w:t xml:space="preserve">What the Act says</w:t>
      </w:r>
    </w:p>
    <w:p>
      <w:pPr>
        <w:pStyle w:val="FirstParagraph"/>
      </w:pPr>
      <w:r>
        <w:t xml:space="preserve">Annex III, point 8(a) classifies AI systems as</w:t>
      </w:r>
      <w:r>
        <w:t xml:space="preserve"> </w:t>
      </w:r>
      <w:r>
        <w:rPr>
          <w:bCs/>
          <w:b/>
        </w:rPr>
        <w:t xml:space="preserve">high-risk</w:t>
      </w:r>
      <w:r>
        <w:t xml:space="preserve"> </w:t>
      </w:r>
      <w:r>
        <w:t xml:space="preserve">when they are used by an</w:t>
      </w:r>
      <w:r>
        <w:t xml:space="preserve"> </w:t>
      </w:r>
      <w:r>
        <w:t xml:space="preserve">“</w:t>
      </w:r>
      <w:r>
        <w:t xml:space="preserve">alternative dispute resolution body</w:t>
      </w:r>
      <w:r>
        <w:t xml:space="preserve">”</w:t>
      </w:r>
      <w:r>
        <w:t xml:space="preserve"> </w:t>
      </w:r>
      <w:r>
        <w:t xml:space="preserve">to research and interpret facts and the law, or to apply the law to a concrete set of facts, where the proceedings produce legal effects for the parties. Recital 61 makes clear that arbitration is included: arbitral awards are generally binding and enforceable (for example, under the New York Convention), bringing them within the scope of</w:t>
      </w:r>
      <w:r>
        <w:t xml:space="preserve"> </w:t>
      </w:r>
      <w:r>
        <w:t xml:space="preserve">“</w:t>
      </w:r>
      <w:r>
        <w:t xml:space="preserve">legal effects.</w:t>
      </w:r>
      <w:r>
        <w:t xml:space="preserve">”</w:t>
      </w:r>
    </w:p>
    <w:p>
      <w:pPr>
        <w:pStyle w:val="BodyText"/>
      </w:pPr>
      <w:r>
        <w:t xml:space="preserve">The European Commission’s May 2026 Draft Guidelines drew a functional distinction. AI tools used for purely administrative tasks — speech-to-text transcription, case assignment, document organisation, anonymisation — are generally excluded from the high-risk classification. Tools that generate draft decisions, analyse legal precedents, or suggest how the law applies to facts are included.</w:t>
      </w:r>
    </w:p>
    <w:bookmarkEnd w:id="22"/>
    <w:bookmarkStart w:id="24" w:name="the-institutional-response"/>
    <w:p>
      <w:pPr>
        <w:pStyle w:val="Heading3"/>
      </w:pPr>
      <w:r>
        <w:t xml:space="preserve">The institutional response</w:t>
      </w:r>
    </w:p>
    <w:p>
      <w:pPr>
        <w:pStyle w:val="FirstParagraph"/>
      </w:pPr>
      <w:r>
        <w:t xml:space="preserve">In July 2026,</w:t>
      </w:r>
      <w:r>
        <w:t xml:space="preserve"> </w:t>
      </w:r>
      <w:hyperlink r:id="rId23">
        <w:r>
          <w:rPr>
            <w:rStyle w:val="Hyperlink"/>
          </w:rPr>
          <w:t xml:space="preserve">sixteen leading international arbitral institutions</w:t>
        </w:r>
      </w:hyperlink>
      <w:r>
        <w:t xml:space="preserve"> </w:t>
      </w:r>
      <w:r>
        <w:t xml:space="preserve">submitted a joint letter to the European Commission expressing several concerns:</w:t>
      </w:r>
    </w:p>
    <w:p>
      <w:pPr>
        <w:numPr>
          <w:ilvl w:val="0"/>
          <w:numId w:val="1001"/>
        </w:numPr>
        <w:pStyle w:val="Compact"/>
      </w:pPr>
      <w:r>
        <w:rPr>
          <w:bCs/>
          <w:b/>
        </w:rPr>
        <w:t xml:space="preserve">Misattribution of responsibility.</w:t>
      </w:r>
      <w:r>
        <w:t xml:space="preserve"> </w:t>
      </w:r>
      <w:r>
        <w:t xml:space="preserve">The institutions argued that they serve an administrative function — appointing arbitrators, managing procedural timelines, collecting deposits — and do not decide the merits of disputes. Labelling the institution as the primary</w:t>
      </w:r>
      <w:r>
        <w:t xml:space="preserve"> </w:t>
      </w:r>
      <w:r>
        <w:t xml:space="preserve">“</w:t>
      </w:r>
      <w:r>
        <w:t xml:space="preserve">ADR body</w:t>
      </w:r>
      <w:r>
        <w:t xml:space="preserve">”</w:t>
      </w:r>
      <w:r>
        <w:t xml:space="preserve"> </w:t>
      </w:r>
      <w:r>
        <w:t xml:space="preserve">for regulatory purposes risks attaching compliance burdens to the wrong actor.</w:t>
      </w:r>
    </w:p>
    <w:p>
      <w:pPr>
        <w:numPr>
          <w:ilvl w:val="0"/>
          <w:numId w:val="1001"/>
        </w:numPr>
        <w:pStyle w:val="Compact"/>
      </w:pPr>
      <w:r>
        <w:rPr>
          <w:bCs/>
          <w:b/>
        </w:rPr>
        <w:t xml:space="preserve">Inconsistency with judicial treatment.</w:t>
      </w:r>
      <w:r>
        <w:t xml:space="preserve"> </w:t>
      </w:r>
      <w:r>
        <w:t xml:space="preserve">The Draft Guidelines exclude bodies responsible for the</w:t>
      </w:r>
      <w:r>
        <w:t xml:space="preserve"> </w:t>
      </w:r>
      <w:r>
        <w:t xml:space="preserve">“</w:t>
      </w:r>
      <w:r>
        <w:t xml:space="preserve">management, governance, and support of the judiciary</w:t>
      </w:r>
      <w:r>
        <w:t xml:space="preserve">”</w:t>
      </w:r>
      <w:r>
        <w:t xml:space="preserve"> </w:t>
      </w:r>
      <w:r>
        <w:t xml:space="preserve">from the Act’s scope. The institutions argued that their administrative role is analogous and should receive similar treatment.</w:t>
      </w:r>
    </w:p>
    <w:p>
      <w:pPr>
        <w:numPr>
          <w:ilvl w:val="0"/>
          <w:numId w:val="1001"/>
        </w:numPr>
        <w:pStyle w:val="Compact"/>
      </w:pPr>
      <w:r>
        <w:rPr>
          <w:bCs/>
          <w:b/>
        </w:rPr>
        <w:t xml:space="preserve">The adjudicative function.</w:t>
      </w:r>
      <w:r>
        <w:t xml:space="preserve"> </w:t>
      </w:r>
      <w:r>
        <w:t xml:space="preserve">Responsibility for AI-assisted decision-making, the letter contended, rests with the arbitral tribunal — the individuals who exercise independent judgment — not with the institution that administers the case.</w:t>
      </w:r>
    </w:p>
    <w:p>
      <w:pPr>
        <w:pStyle w:val="FirstParagraph"/>
      </w:pPr>
      <w:r>
        <w:t xml:space="preserve">This debate remains unresolved. The Commission has not yet issued final guidance, and the obligations for high-risk systems do not apply until</w:t>
      </w:r>
      <w:r>
        <w:t xml:space="preserve"> </w:t>
      </w:r>
      <w:r>
        <w:rPr>
          <w:bCs/>
          <w:b/>
        </w:rPr>
        <w:t xml:space="preserve">December 2, 2027</w:t>
      </w:r>
      <w:r>
        <w:t xml:space="preserve"> </w:t>
      </w:r>
      <w:r>
        <w:t xml:space="preserve">(for stand-alone AI systems) or</w:t>
      </w:r>
      <w:r>
        <w:t xml:space="preserve"> </w:t>
      </w:r>
      <w:r>
        <w:rPr>
          <w:bCs/>
          <w:b/>
        </w:rPr>
        <w:t xml:space="preserve">August 2, 2028</w:t>
      </w:r>
      <w:r>
        <w:t xml:space="preserve"> </w:t>
      </w:r>
      <w:r>
        <w:t xml:space="preserve">(for those embedded within broader products). But the timeline is not as distant as it appears: organisations that use AI in proceedings involving EU parties, or whose awards may be enforced within the EU, will need to assess their exposure well in advance.</w:t>
      </w:r>
    </w:p>
    <w:bookmarkEnd w:id="24"/>
    <w:bookmarkStart w:id="25" w:name="the-filter-mechanism"/>
    <w:p>
      <w:pPr>
        <w:pStyle w:val="Heading3"/>
      </w:pPr>
      <w:r>
        <w:t xml:space="preserve">The filter mechanism</w:t>
      </w:r>
    </w:p>
    <w:p>
      <w:pPr>
        <w:pStyle w:val="FirstParagraph"/>
      </w:pPr>
      <w:r>
        <w:t xml:space="preserve">The Act includes a filter under Article 6(3) that can exempt an AI system from high-risk classification if it does not pose a significant risk of harm or materially influence decision-making. Tools used for preparatory research, translation, or organising a chronology may fall within this exemption. But the boundaries are not yet tested, and the distinction between a research tool that</w:t>
      </w:r>
      <w:r>
        <w:t xml:space="preserve"> </w:t>
      </w:r>
      <w:r>
        <w:t xml:space="preserve">“</w:t>
      </w:r>
      <w:r>
        <w:t xml:space="preserve">informs</w:t>
      </w:r>
      <w:r>
        <w:t xml:space="preserve">”</w:t>
      </w:r>
      <w:r>
        <w:t xml:space="preserve"> </w:t>
      </w:r>
      <w:r>
        <w:t xml:space="preserve">and one that</w:t>
      </w:r>
      <w:r>
        <w:t xml:space="preserve"> </w:t>
      </w:r>
      <w:r>
        <w:t xml:space="preserve">“</w:t>
      </w:r>
      <w:r>
        <w:t xml:space="preserve">influences</w:t>
      </w:r>
      <w:r>
        <w:t xml:space="preserve">”</w:t>
      </w:r>
      <w:r>
        <w:t xml:space="preserve"> </w:t>
      </w:r>
      <w:r>
        <w:t xml:space="preserve">is likely to generate its own disputes.</w:t>
      </w:r>
    </w:p>
    <w:bookmarkEnd w:id="25"/>
    <w:bookmarkStart w:id="26" w:name="extraterritorial-reach"/>
    <w:p>
      <w:pPr>
        <w:pStyle w:val="Heading3"/>
      </w:pPr>
      <w:r>
        <w:t xml:space="preserve">Extraterritorial reach</w:t>
      </w:r>
    </w:p>
    <w:p>
      <w:pPr>
        <w:pStyle w:val="FirstParagraph"/>
      </w:pPr>
      <w:r>
        <w:t xml:space="preserve">The Act applies not only to providers and deployers established in the EU, but also to those outside the EU if the output of the AI system is used within the Union. For international arbitration proceedings seated outside the EU, this creates a layer of uncertainty that institutions and practitioners will need to navigate.</w:t>
      </w:r>
    </w:p>
    <w:p>
      <w:r>
        <w:pict>
          <v:rect style="width:0;height:1.5pt" o:hralign="center" o:hrstd="t" o:hr="t"/>
        </w:pict>
      </w:r>
    </w:p>
    <w:bookmarkEnd w:id="26"/>
    <w:bookmarkEnd w:id="27"/>
    <w:bookmarkStart w:id="31" w:name="Xecbc00ed1466714210cf5efdbc848956c5a2dd4"/>
    <w:p>
      <w:pPr>
        <w:pStyle w:val="Heading2"/>
      </w:pPr>
      <w:r>
        <w:t xml:space="preserve">2. Independent Verification: From Aspiration to Statutory Requirement</w:t>
      </w:r>
    </w:p>
    <w:p>
      <w:pPr>
        <w:pStyle w:val="FirstParagraph"/>
      </w:pPr>
      <w:r>
        <w:t xml:space="preserve">One of the clearest indicators to emerge this year is the convergence, across jurisdictions, on a single principle:</w:t>
      </w:r>
      <w:r>
        <w:t xml:space="preserve"> </w:t>
      </w:r>
      <w:r>
        <w:rPr>
          <w:bCs/>
          <w:b/>
        </w:rPr>
        <w:t xml:space="preserve">self-attestation by AI developers and deployers is no longer considered sufficient</w:t>
      </w:r>
      <w:r>
        <w:t xml:space="preserve">. Independent, third-party verification is becoming a regulatory default.</w:t>
      </w:r>
    </w:p>
    <w:bookmarkStart w:id="28" w:name="united-states-state-level-action"/>
    <w:p>
      <w:pPr>
        <w:pStyle w:val="Heading3"/>
      </w:pPr>
      <w:r>
        <w:t xml:space="preserve">United States: state-level action</w:t>
      </w:r>
    </w:p>
    <w:p>
      <w:pPr>
        <w:pStyle w:val="FirstParagraph"/>
      </w:pPr>
      <w:r>
        <w:t xml:space="preserve">The US does not yet have comprehensive federal AI legislation, despite a substantial volume of bills introduced in 2026. The legislative energy has been at the state level, and it has produced a series of concrete requirements:</w:t>
      </w:r>
    </w:p>
    <w:p>
      <w:pPr>
        <w:numPr>
          <w:ilvl w:val="0"/>
          <w:numId w:val="1002"/>
        </w:numPr>
      </w:pPr>
      <w:r>
        <w:rPr>
          <w:bCs/>
          <w:b/>
        </w:rPr>
        <w:t xml:space="preserve">Illinois SB 315</w:t>
      </w:r>
      <w:r>
        <w:t xml:space="preserve"> </w:t>
      </w:r>
      <w:r>
        <w:t xml:space="preserve">(signed July 6, 2026; effective January 1, 2027) requires developers of frontier and high-impact AI systems to submit to</w:t>
      </w:r>
      <w:r>
        <w:t xml:space="preserve"> </w:t>
      </w:r>
      <w:r>
        <w:rPr>
          <w:bCs/>
          <w:b/>
        </w:rPr>
        <w:t xml:space="preserve">annual independent, third-party audits</w:t>
      </w:r>
      <w:r>
        <w:t xml:space="preserve"> </w:t>
      </w:r>
      <w:r>
        <w:t xml:space="preserve">— the first US state law to mandate this. An AI Cabinet was created by executive order on September 22, 2026, to coordinate implementation.</w:t>
      </w:r>
    </w:p>
    <w:p>
      <w:pPr>
        <w:numPr>
          <w:ilvl w:val="0"/>
          <w:numId w:val="1002"/>
        </w:numPr>
      </w:pPr>
      <w:r>
        <w:rPr>
          <w:bCs/>
          <w:b/>
        </w:rPr>
        <w:t xml:space="preserve">California SB 813 and AB 1405</w:t>
      </w:r>
      <w:r>
        <w:t xml:space="preserve"> </w:t>
      </w:r>
      <w:r>
        <w:t xml:space="preserve">(signed September 9, 2026) go further by establishing the infrastructure for who may conduct those audits. SB 813 creates criteria for designating</w:t>
      </w:r>
      <w:r>
        <w:t xml:space="preserve"> </w:t>
      </w:r>
      <w:r>
        <w:rPr>
          <w:bCs/>
          <w:b/>
        </w:rPr>
        <w:t xml:space="preserve">Independent Verification Organisations (IVOs)</w:t>
      </w:r>
      <w:r>
        <w:t xml:space="preserve"> </w:t>
      </w:r>
      <w:r>
        <w:t xml:space="preserve">qualified to assess AI systems (effective January 1, 2028). AB 1405 establishes a public</w:t>
      </w:r>
      <w:r>
        <w:t xml:space="preserve"> </w:t>
      </w:r>
      <w:r>
        <w:rPr>
          <w:bCs/>
          <w:b/>
        </w:rPr>
        <w:t xml:space="preserve">AI Auditor Registry</w:t>
      </w:r>
      <w:r>
        <w:t xml:space="preserve">, requiring that state-mandated audits be performed only by registered auditors (effective January 1, 2029). Together, these laws create the first state-level audit accreditation framework.</w:t>
      </w:r>
    </w:p>
    <w:p>
      <w:pPr>
        <w:numPr>
          <w:ilvl w:val="0"/>
          <w:numId w:val="1002"/>
        </w:numPr>
      </w:pPr>
      <w:r>
        <w:rPr>
          <w:bCs/>
          <w:b/>
        </w:rPr>
        <w:t xml:space="preserve">Colorado SB 26-189</w:t>
      </w:r>
      <w:r>
        <w:t xml:space="preserve"> </w:t>
      </w:r>
      <w:r>
        <w:t xml:space="preserve">(effective January 1, 2027) replaced the earlier SB 24-205 with a narrower framework focused on Automated Decision-Making Technology (ADMT). It requires deployers to retain compliance records for at least three years, provide consumers with explanations of algorithmic factors, and afford</w:t>
      </w:r>
      <w:r>
        <w:t xml:space="preserve"> </w:t>
      </w:r>
      <w:r>
        <w:rPr>
          <w:bCs/>
          <w:b/>
        </w:rPr>
        <w:t xml:space="preserve">meaningful human review and reconsideration</w:t>
      </w:r>
      <w:r>
        <w:t xml:space="preserve"> </w:t>
      </w:r>
      <w:r>
        <w:t xml:space="preserve">within 30 days of an adverse outcome. The Colorado Attorney General filed formal proposed rules on August 11, 2026.</w:t>
      </w:r>
    </w:p>
    <w:p>
      <w:pPr>
        <w:numPr>
          <w:ilvl w:val="0"/>
          <w:numId w:val="1002"/>
        </w:numPr>
      </w:pPr>
      <w:r>
        <w:rPr>
          <w:bCs/>
          <w:b/>
        </w:rPr>
        <w:t xml:space="preserve">California SB 1000</w:t>
      </w:r>
      <w:r>
        <w:t xml:space="preserve"> </w:t>
      </w:r>
      <w:r>
        <w:t xml:space="preserve">(signed September 30, 2026) removed the original 1 million-user threshold from the AI Transparency Act, extending its disclosure and provenance requirements to a broader range of providers. The law’s content-provenance requirements — including latent disclosure through machine-readable metadata — are now operative.</w:t>
      </w:r>
    </w:p>
    <w:bookmarkEnd w:id="28"/>
    <w:bookmarkStart w:id="29" w:name="united-kingdom"/>
    <w:p>
      <w:pPr>
        <w:pStyle w:val="Heading3"/>
      </w:pPr>
      <w:r>
        <w:t xml:space="preserve">United Kingdom</w:t>
      </w:r>
    </w:p>
    <w:p>
      <w:pPr>
        <w:pStyle w:val="FirstParagraph"/>
      </w:pPr>
      <w:r>
        <w:t xml:space="preserve">The UK maintains a principles-based, sector-specific approach rather than a single AI Act. Five principles — safety, transparency, fairness, accountability, and contestability — are applied by existing regulators (FCA, ICO, Ofcom, CMA, MHRA). However, the limits of the voluntary model became visible in 2026:</w:t>
      </w:r>
    </w:p>
    <w:p>
      <w:pPr>
        <w:numPr>
          <w:ilvl w:val="0"/>
          <w:numId w:val="1003"/>
        </w:numPr>
        <w:pStyle w:val="Compact"/>
      </w:pPr>
      <w:r>
        <w:t xml:space="preserve">The UK AI Security Institute (AISI) found its evaluation capability constrained by its reliance on</w:t>
      </w:r>
      <w:r>
        <w:t xml:space="preserve"> </w:t>
      </w:r>
      <w:r>
        <w:rPr>
          <w:bCs/>
          <w:b/>
        </w:rPr>
        <w:t xml:space="preserve">voluntary cooperation</w:t>
      </w:r>
      <w:r>
        <w:t xml:space="preserve"> </w:t>
      </w:r>
      <w:r>
        <w:t xml:space="preserve">from frontier developers. Anthropic’s decision to decline pre-release model access underscored the structural weakness.</w:t>
      </w:r>
    </w:p>
    <w:p>
      <w:pPr>
        <w:numPr>
          <w:ilvl w:val="0"/>
          <w:numId w:val="1003"/>
        </w:numPr>
        <w:pStyle w:val="Compact"/>
      </w:pPr>
      <w:r>
        <w:t xml:space="preserve">Parliament summoned Anthropic, OpenAI, Google DeepMind and Meta to an</w:t>
      </w:r>
      <w:r>
        <w:t xml:space="preserve"> </w:t>
      </w:r>
      <w:r>
        <w:rPr>
          <w:bCs/>
          <w:b/>
        </w:rPr>
        <w:t xml:space="preserve">urgent hearing on October 13, 2026</w:t>
      </w:r>
      <w:r>
        <w:t xml:space="preserve">, to examine whether pre-release safety testing should become legally mandatory.</w:t>
      </w:r>
    </w:p>
    <w:p>
      <w:pPr>
        <w:numPr>
          <w:ilvl w:val="0"/>
          <w:numId w:val="1003"/>
        </w:numPr>
        <w:pStyle w:val="Compact"/>
      </w:pPr>
      <w:r>
        <w:t xml:space="preserve">The government has signalled a potential</w:t>
      </w:r>
      <w:r>
        <w:t xml:space="preserve"> </w:t>
      </w:r>
      <w:r>
        <w:rPr>
          <w:bCs/>
          <w:b/>
        </w:rPr>
        <w:t xml:space="preserve">2026 Statutory AI Bill</w:t>
      </w:r>
      <w:r>
        <w:t xml:space="preserve"> </w:t>
      </w:r>
      <w:r>
        <w:t xml:space="preserve">to address frontier models.</w:t>
      </w:r>
    </w:p>
    <w:p>
      <w:pPr>
        <w:numPr>
          <w:ilvl w:val="0"/>
          <w:numId w:val="1003"/>
        </w:numPr>
        <w:pStyle w:val="Compact"/>
      </w:pPr>
      <w:r>
        <w:t xml:space="preserve">The UK Jurisdiction Taskforce launched a consultation on a draft Legal Statement addressing</w:t>
      </w:r>
      <w:r>
        <w:t xml:space="preserve"> </w:t>
      </w:r>
      <w:r>
        <w:rPr>
          <w:bCs/>
          <w:b/>
        </w:rPr>
        <w:t xml:space="preserve">liability for AI-associated loss</w:t>
      </w:r>
      <w:r>
        <w:t xml:space="preserve">, confirming the expectation that English law will resolve novel AI issues through flexible application of existing common law principles.</w:t>
      </w:r>
    </w:p>
    <w:p>
      <w:pPr>
        <w:pStyle w:val="FirstParagraph"/>
      </w:pPr>
      <w:r>
        <w:t xml:space="preserve">For ADR institutions operating in the UK, these developments indicate a direction of travel — even without binding legislation — that favours demonstrable accountability over self-reported compliance.</w:t>
      </w:r>
    </w:p>
    <w:bookmarkEnd w:id="29"/>
    <w:bookmarkStart w:id="30" w:name="federal-us-volume-without-enactment"/>
    <w:p>
      <w:pPr>
        <w:pStyle w:val="Heading3"/>
      </w:pPr>
      <w:r>
        <w:t xml:space="preserve">Federal US: volume without enactment</w:t>
      </w:r>
    </w:p>
    <w:p>
      <w:pPr>
        <w:pStyle w:val="FirstParagraph"/>
      </w:pPr>
      <w:r>
        <w:t xml:space="preserve">At the federal level, the picture is one of activity without resolution. Bills introduced in 2026 include:</w:t>
      </w:r>
    </w:p>
    <w:p>
      <w:pPr>
        <w:numPr>
          <w:ilvl w:val="0"/>
          <w:numId w:val="1004"/>
        </w:numPr>
        <w:pStyle w:val="Compact"/>
      </w:pPr>
      <w:r>
        <w:t xml:space="preserve">The</w:t>
      </w:r>
      <w:r>
        <w:t xml:space="preserve"> </w:t>
      </w:r>
      <w:r>
        <w:rPr>
          <w:bCs/>
          <w:b/>
        </w:rPr>
        <w:t xml:space="preserve">FRONTIER Act</w:t>
      </w:r>
      <w:r>
        <w:t xml:space="preserve"> </w:t>
      </w:r>
      <w:r>
        <w:t xml:space="preserve">(H.R. 9925), proposing a marketplace of licensed independent verification organisations.</w:t>
      </w:r>
    </w:p>
    <w:p>
      <w:pPr>
        <w:numPr>
          <w:ilvl w:val="0"/>
          <w:numId w:val="1004"/>
        </w:numPr>
        <w:pStyle w:val="Compact"/>
      </w:pPr>
      <w:r>
        <w:t xml:space="preserve">The</w:t>
      </w:r>
      <w:r>
        <w:t xml:space="preserve"> </w:t>
      </w:r>
      <w:r>
        <w:rPr>
          <w:bCs/>
          <w:b/>
        </w:rPr>
        <w:t xml:space="preserve">AI Kill Switch Act</w:t>
      </w:r>
      <w:r>
        <w:t xml:space="preserve">, requiring emergency shutdown mechanisms for AI systems capable of causing significant harm.</w:t>
      </w:r>
    </w:p>
    <w:p>
      <w:pPr>
        <w:numPr>
          <w:ilvl w:val="0"/>
          <w:numId w:val="1004"/>
        </w:numPr>
        <w:pStyle w:val="Compact"/>
      </w:pPr>
      <w:r>
        <w:t xml:space="preserve">The</w:t>
      </w:r>
      <w:r>
        <w:t xml:space="preserve"> </w:t>
      </w:r>
      <w:r>
        <w:rPr>
          <w:bCs/>
          <w:b/>
        </w:rPr>
        <w:t xml:space="preserve">AI Systems Transparency Act</w:t>
      </w:r>
      <w:r>
        <w:t xml:space="preserve">, mandating consumer-facing disclosures and access for independent researchers.</w:t>
      </w:r>
    </w:p>
    <w:p>
      <w:pPr>
        <w:numPr>
          <w:ilvl w:val="0"/>
          <w:numId w:val="1004"/>
        </w:numPr>
        <w:pStyle w:val="Compact"/>
      </w:pPr>
      <w:r>
        <w:t xml:space="preserve">The</w:t>
      </w:r>
      <w:r>
        <w:t xml:space="preserve"> </w:t>
      </w:r>
      <w:r>
        <w:rPr>
          <w:bCs/>
          <w:b/>
        </w:rPr>
        <w:t xml:space="preserve">Ban Artificial Superintelligence Act</w:t>
      </w:r>
      <w:r>
        <w:t xml:space="preserve"> </w:t>
      </w:r>
      <w:r>
        <w:t xml:space="preserve">(Sanders–Casar), proposing a permanent ban on ASI with a cabinet-level Department of AI.</w:t>
      </w:r>
    </w:p>
    <w:p>
      <w:pPr>
        <w:numPr>
          <w:ilvl w:val="0"/>
          <w:numId w:val="1004"/>
        </w:numPr>
        <w:pStyle w:val="Compact"/>
      </w:pPr>
      <w:r>
        <w:t xml:space="preserve">The</w:t>
      </w:r>
      <w:r>
        <w:t xml:space="preserve"> </w:t>
      </w:r>
      <w:r>
        <w:rPr>
          <w:bCs/>
          <w:b/>
        </w:rPr>
        <w:t xml:space="preserve">Great American AI Act</w:t>
      </w:r>
      <w:r>
        <w:t xml:space="preserve">, a broader regulatory framework bill.</w:t>
      </w:r>
    </w:p>
    <w:p>
      <w:pPr>
        <w:pStyle w:val="FirstParagraph"/>
      </w:pPr>
      <w:r>
        <w:t xml:space="preserve">None has been enacted. Congress adjourned for the November midterm recess without passing comprehensive AI legislation, leaving states and international frameworks to set the operational standards.</w:t>
      </w:r>
    </w:p>
    <w:p>
      <w:pPr>
        <w:pStyle w:val="BodyText"/>
      </w:pPr>
      <w:r>
        <w:t xml:space="preserve">Separately, the executive branch has added a</w:t>
      </w:r>
      <w:r>
        <w:t xml:space="preserve"> </w:t>
      </w:r>
      <w:r>
        <w:rPr>
          <w:bCs/>
          <w:b/>
        </w:rPr>
        <w:t xml:space="preserve">Voluntary White House Accord</w:t>
      </w:r>
      <w:r>
        <w:t xml:space="preserve"> </w:t>
      </w:r>
      <w:r>
        <w:t xml:space="preserve">(September 29, 2026) and a new</w:t>
      </w:r>
      <w:r>
        <w:t xml:space="preserve"> </w:t>
      </w:r>
      <w:r>
        <w:rPr>
          <w:bCs/>
          <w:b/>
        </w:rPr>
        <w:t xml:space="preserve">Super Intelligence Force</w:t>
      </w:r>
      <w:r>
        <w:t xml:space="preserve"> </w:t>
      </w:r>
      <w:r>
        <w:t xml:space="preserve">led by Jay Clayton (announced October 3–4, 2026), with 120 days to report on AI risks and opportunities — placing its deadline around early February 2027.</w:t>
      </w:r>
    </w:p>
    <w:p>
      <w:r>
        <w:pict>
          <v:rect style="width:0;height:1.5pt" o:hralign="center" o:hrstd="t" o:hr="t"/>
        </w:pict>
      </w:r>
    </w:p>
    <w:bookmarkEnd w:id="30"/>
    <w:bookmarkEnd w:id="31"/>
    <w:bookmarkStart w:id="36" w:name="X5d5f62874fa382b238af64368ffe9d8b5f674ba"/>
    <w:p>
      <w:pPr>
        <w:pStyle w:val="Heading2"/>
      </w:pPr>
      <w:r>
        <w:t xml:space="preserve">3. Evidence Requirements: What Constitutes an Adequate Record</w:t>
      </w:r>
    </w:p>
    <w:p>
      <w:pPr>
        <w:pStyle w:val="FirstParagraph"/>
      </w:pPr>
      <w:r>
        <w:t xml:space="preserve">As regulatory frameworks mature, the question of what constitutes adequate evidence of an AI-assisted process is becoming more precisely defined. Several converging developments are worth noting.</w:t>
      </w:r>
    </w:p>
    <w:bookmarkStart w:id="33" w:name="content-provenance-and-the-c2pa-standard"/>
    <w:p>
      <w:pPr>
        <w:pStyle w:val="Heading3"/>
      </w:pPr>
      <w:r>
        <w:t xml:space="preserve">Content provenance and the C2PA standard</w:t>
      </w:r>
    </w:p>
    <w:p>
      <w:pPr>
        <w:pStyle w:val="FirstParagraph"/>
      </w:pPr>
      <w:r>
        <w:t xml:space="preserve">The Coalition for Content Provenance and Authenticity (C2PA) has established an open technical standard for recording the origin and modification history of digital content. It works by embedding a cryptographically signed manifest into files (JPEG, MP4, PDF and others) that tracks the creator, timestamps, and every edit performed by compliant software.</w:t>
      </w:r>
    </w:p>
    <w:p>
      <w:pPr>
        <w:pStyle w:val="BodyText"/>
      </w:pPr>
      <w:r>
        <w:t xml:space="preserve">In 2026, adoption has accelerated:</w:t>
      </w:r>
    </w:p>
    <w:p>
      <w:pPr>
        <w:numPr>
          <w:ilvl w:val="0"/>
          <w:numId w:val="1005"/>
        </w:numPr>
        <w:pStyle w:val="Compact"/>
      </w:pPr>
      <w:r>
        <w:t xml:space="preserve">Hardware-level implementations (in devices from Leica, Sony and Google) sign content at the point of capture — establishing provenance before any human or AI intervention.</w:t>
      </w:r>
    </w:p>
    <w:p>
      <w:pPr>
        <w:numPr>
          <w:ilvl w:val="0"/>
          <w:numId w:val="1005"/>
        </w:numPr>
        <w:pStyle w:val="Compact"/>
      </w:pPr>
      <w:r>
        <w:t xml:space="preserve">Major news organisations (BBC, AP, Reuters, NYT) now prioritise C2PA-verified assets.</w:t>
      </w:r>
    </w:p>
    <w:p>
      <w:pPr>
        <w:numPr>
          <w:ilvl w:val="0"/>
          <w:numId w:val="1005"/>
        </w:numPr>
        <w:pStyle w:val="Compact"/>
      </w:pPr>
      <w:r>
        <w:t xml:space="preserve">Platforms including LinkedIn, YouTube and TikTok have integrated C2PA support to surface provenance information.</w:t>
      </w:r>
    </w:p>
    <w:p>
      <w:pPr>
        <w:numPr>
          <w:ilvl w:val="0"/>
          <w:numId w:val="1005"/>
        </w:numPr>
        <w:pStyle w:val="Compact"/>
      </w:pPr>
      <w:r>
        <w:t xml:space="preserve">Some</w:t>
      </w:r>
      <w:r>
        <w:t xml:space="preserve"> </w:t>
      </w:r>
      <w:r>
        <w:rPr>
          <w:bCs/>
          <w:b/>
        </w:rPr>
        <w:t xml:space="preserve">US federal courts have begun accepting C2PA-credentialed evidence</w:t>
      </w:r>
      <w:r>
        <w:t xml:space="preserve"> </w:t>
      </w:r>
      <w:r>
        <w:t xml:space="preserve">under Rule 901, though case law is still developing.</w:t>
      </w:r>
    </w:p>
    <w:p>
      <w:pPr>
        <w:numPr>
          <w:ilvl w:val="0"/>
          <w:numId w:val="1005"/>
        </w:numPr>
        <w:pStyle w:val="Compact"/>
      </w:pPr>
      <w:r>
        <w:t xml:space="preserve">The</w:t>
      </w:r>
      <w:r>
        <w:t xml:space="preserve"> </w:t>
      </w:r>
      <w:r>
        <w:rPr>
          <w:bCs/>
          <w:b/>
        </w:rPr>
        <w:t xml:space="preserve">EU AI Act’s Article 50</w:t>
      </w:r>
      <w:r>
        <w:t xml:space="preserve"> </w:t>
      </w:r>
      <w:r>
        <w:t xml:space="preserve">transparency obligations, which require disclosure when content is AI-generated, have applied since August 2, 2026.</w:t>
      </w:r>
    </w:p>
    <w:p>
      <w:pPr>
        <w:pStyle w:val="FirstParagraph"/>
      </w:pPr>
      <w:r>
        <w:t xml:space="preserve">For ADR institutions, provenance technology offers a practical mechanism for documenting the integrity of AI-assisted processes — recording which system produced a given output, when, and whether the output was subsequently modified. It is worth noting that the Regitech website (</w:t>
      </w:r>
      <w:hyperlink r:id="rId32">
        <w:r>
          <w:rPr>
            <w:rStyle w:val="Hyperlink"/>
          </w:rPr>
          <w:t xml:space="preserve">regitech.ai</w:t>
        </w:r>
      </w:hyperlink>
      <w:r>
        <w:t xml:space="preserve">) lists C2PA conformance as currently in its validation phase.</w:t>
      </w:r>
    </w:p>
    <w:bookmarkEnd w:id="33"/>
    <w:bookmarkStart w:id="34" w:name="record-retention"/>
    <w:p>
      <w:pPr>
        <w:pStyle w:val="Heading3"/>
      </w:pPr>
      <w:r>
        <w:t xml:space="preserve">Record retention</w:t>
      </w:r>
    </w:p>
    <w:p>
      <w:pPr>
        <w:pStyle w:val="FirstParagraph"/>
      </w:pPr>
      <w:r>
        <w:t xml:space="preserve">Statutory record-keeping requirements are becoming more specific:</w:t>
      </w:r>
    </w:p>
    <w:p>
      <w:pPr>
        <w:numPr>
          <w:ilvl w:val="0"/>
          <w:numId w:val="1006"/>
        </w:numPr>
        <w:pStyle w:val="Compact"/>
      </w:pPr>
      <w:r>
        <w:t xml:space="preserve">Colorado’s SB 26-189 requires at least</w:t>
      </w:r>
      <w:r>
        <w:t xml:space="preserve"> </w:t>
      </w:r>
      <w:r>
        <w:rPr>
          <w:bCs/>
          <w:b/>
        </w:rPr>
        <w:t xml:space="preserve">three years</w:t>
      </w:r>
      <w:r>
        <w:t xml:space="preserve"> </w:t>
      </w:r>
      <w:r>
        <w:t xml:space="preserve">of compliance records for automated decision-making technology.</w:t>
      </w:r>
    </w:p>
    <w:p>
      <w:pPr>
        <w:numPr>
          <w:ilvl w:val="0"/>
          <w:numId w:val="1006"/>
        </w:numPr>
        <w:pStyle w:val="Compact"/>
      </w:pPr>
      <w:r>
        <w:t xml:space="preserve">The EU AI Act requires at least</w:t>
      </w:r>
      <w:r>
        <w:t xml:space="preserve"> </w:t>
      </w:r>
      <w:r>
        <w:rPr>
          <w:bCs/>
          <w:b/>
        </w:rPr>
        <w:t xml:space="preserve">six months</w:t>
      </w:r>
      <w:r>
        <w:t xml:space="preserve"> </w:t>
      </w:r>
      <w:r>
        <w:t xml:space="preserve">of system logs for high-risk applications.</w:t>
      </w:r>
    </w:p>
    <w:p>
      <w:pPr>
        <w:numPr>
          <w:ilvl w:val="0"/>
          <w:numId w:val="1006"/>
        </w:numPr>
        <w:pStyle w:val="Compact"/>
      </w:pPr>
      <w:r>
        <w:t xml:space="preserve">Illinois SB 315’s annual audit requirement implies that records must be maintained in a form that an independent auditor can review.</w:t>
      </w:r>
    </w:p>
    <w:bookmarkEnd w:id="34"/>
    <w:bookmarkStart w:id="35" w:name="explainability-and-disclosure"/>
    <w:p>
      <w:pPr>
        <w:pStyle w:val="Heading3"/>
      </w:pPr>
      <w:r>
        <w:t xml:space="preserve">Explainability and disclosure</w:t>
      </w:r>
    </w:p>
    <w:p>
      <w:pPr>
        <w:pStyle w:val="FirstParagraph"/>
      </w:pPr>
      <w:r>
        <w:t xml:space="preserve">The ability to explain why an AI system produced a particular outcome is becoming a statutory obligation in multiple jurisdictions:</w:t>
      </w:r>
    </w:p>
    <w:p>
      <w:pPr>
        <w:numPr>
          <w:ilvl w:val="0"/>
          <w:numId w:val="1007"/>
        </w:numPr>
        <w:pStyle w:val="Compact"/>
      </w:pPr>
      <w:r>
        <w:t xml:space="preserve">Colorado requires deployers to provide consumers with</w:t>
      </w:r>
      <w:r>
        <w:t xml:space="preserve"> </w:t>
      </w:r>
      <w:r>
        <w:rPr>
          <w:bCs/>
          <w:b/>
        </w:rPr>
        <w:t xml:space="preserve">explanations of the principal factors</w:t>
      </w:r>
      <w:r>
        <w:t xml:space="preserve"> </w:t>
      </w:r>
      <w:r>
        <w:t xml:space="preserve">in an algorithmic determination.</w:t>
      </w:r>
    </w:p>
    <w:p>
      <w:pPr>
        <w:numPr>
          <w:ilvl w:val="0"/>
          <w:numId w:val="1007"/>
        </w:numPr>
        <w:pStyle w:val="Compact"/>
      </w:pPr>
      <w:r>
        <w:t xml:space="preserve">California’s SB 942 (the AI Transparency Act, as amended by SB 1000) requires both visible disclosure (</w:t>
      </w:r>
      <w:r>
        <w:t xml:space="preserve">“</w:t>
      </w:r>
      <w:r>
        <w:t xml:space="preserve">This content was generated by AI</w:t>
      </w:r>
      <w:r>
        <w:t xml:space="preserve">”</w:t>
      </w:r>
      <w:r>
        <w:t xml:space="preserve">) and latent, machine-readable metadata for compliant detection tools.</w:t>
      </w:r>
    </w:p>
    <w:p>
      <w:pPr>
        <w:numPr>
          <w:ilvl w:val="0"/>
          <w:numId w:val="1007"/>
        </w:numPr>
        <w:pStyle w:val="Compact"/>
      </w:pPr>
      <w:r>
        <w:t xml:space="preserve">The EU AI Act’s high-risk transparency provisions require documented descriptions of system capabilities and limitations.</w:t>
      </w:r>
    </w:p>
    <w:p>
      <w:pPr>
        <w:pStyle w:val="FirstParagraph"/>
      </w:pPr>
      <w:r>
        <w:t xml:space="preserve">The implication for ADR institutions is that the standards for what counts as adequate documentation of an AI-assisted process — whether in a hearing, a case assessment, or an administrative decision — will increasingly be set by legislation rather than by institutional convention alone.</w:t>
      </w:r>
    </w:p>
    <w:p>
      <w:r>
        <w:pict>
          <v:rect style="width:0;height:1.5pt" o:hralign="center" o:hrstd="t" o:hr="t"/>
        </w:pict>
      </w:r>
    </w:p>
    <w:bookmarkEnd w:id="35"/>
    <w:bookmarkEnd w:id="36"/>
    <w:bookmarkStart w:id="40" w:name="people-recourse-and-the-adr-intersection"/>
    <w:p>
      <w:pPr>
        <w:pStyle w:val="Heading2"/>
      </w:pPr>
      <w:r>
        <w:t xml:space="preserve">4. People, Recourse and the ADR Intersection</w:t>
      </w:r>
    </w:p>
    <w:p>
      <w:pPr>
        <w:pStyle w:val="FirstParagraph"/>
      </w:pPr>
      <w:r>
        <w:t xml:space="preserve">The most recent legislative activity places particular emphasis on the individual affected by an AI-assisted decision — and, specifically, on their right to understand, challenge and obtain meaningful review of that decision.</w:t>
      </w:r>
    </w:p>
    <w:bookmarkStart w:id="37" w:name="consumer-and-worker-protections"/>
    <w:p>
      <w:pPr>
        <w:pStyle w:val="Heading3"/>
      </w:pPr>
      <w:r>
        <w:t xml:space="preserve">Consumer and worker protections</w:t>
      </w:r>
    </w:p>
    <w:p>
      <w:pPr>
        <w:numPr>
          <w:ilvl w:val="0"/>
          <w:numId w:val="1008"/>
        </w:numPr>
        <w:pStyle w:val="Compact"/>
      </w:pPr>
      <w:r>
        <w:rPr>
          <w:bCs/>
          <w:b/>
        </w:rPr>
        <w:t xml:space="preserve">Colorado SB 26-189</w:t>
      </w:r>
      <w:r>
        <w:t xml:space="preserve"> </w:t>
      </w:r>
      <w:r>
        <w:t xml:space="preserve">provides consumers with notice, explanation, the right to correct data, and meaningful human review within 30 days of an adverse algorithmic outcome.</w:t>
      </w:r>
    </w:p>
    <w:p>
      <w:pPr>
        <w:numPr>
          <w:ilvl w:val="0"/>
          <w:numId w:val="1008"/>
        </w:numPr>
        <w:pStyle w:val="Compact"/>
      </w:pPr>
      <w:r>
        <w:rPr>
          <w:bCs/>
          <w:b/>
        </w:rPr>
        <w:t xml:space="preserve">California SB 947</w:t>
      </w:r>
      <w:r>
        <w:t xml:space="preserve"> </w:t>
      </w:r>
      <w:r>
        <w:t xml:space="preserve">(effective July 1, 2027) requires employers to notify workers when AI is used in employment decisions and to provide human corroboration before adverse actions.</w:t>
      </w:r>
    </w:p>
    <w:p>
      <w:pPr>
        <w:numPr>
          <w:ilvl w:val="0"/>
          <w:numId w:val="1008"/>
        </w:numPr>
        <w:pStyle w:val="Compact"/>
      </w:pPr>
      <w:r>
        <w:rPr>
          <w:bCs/>
          <w:b/>
        </w:rPr>
        <w:t xml:space="preserve">Illinois HB 3773</w:t>
      </w:r>
      <w:r>
        <w:t xml:space="preserve"> </w:t>
      </w:r>
      <w:r>
        <w:t xml:space="preserve">bars discriminatory AI in employment decisions and provides enforcement through the Attorney General.</w:t>
      </w:r>
    </w:p>
    <w:p>
      <w:pPr>
        <w:numPr>
          <w:ilvl w:val="0"/>
          <w:numId w:val="1008"/>
        </w:numPr>
        <w:pStyle w:val="Compact"/>
      </w:pPr>
      <w:r>
        <w:rPr>
          <w:bCs/>
          <w:b/>
        </w:rPr>
        <w:t xml:space="preserve">The EU AI Act’s Article 50</w:t>
      </w:r>
      <w:r>
        <w:t xml:space="preserve"> </w:t>
      </w:r>
      <w:r>
        <w:t xml:space="preserve">requires all deployers of AI systems to inform individuals when they are interacting with an AI.</w:t>
      </w:r>
    </w:p>
    <w:bookmarkEnd w:id="37"/>
    <w:bookmarkStart w:id="39" w:name="why-this-matters-for-adr"/>
    <w:p>
      <w:pPr>
        <w:pStyle w:val="Heading3"/>
      </w:pPr>
      <w:r>
        <w:t xml:space="preserve">Why this matters for ADR</w:t>
      </w:r>
    </w:p>
    <w:p>
      <w:pPr>
        <w:pStyle w:val="FirstParagraph"/>
      </w:pPr>
      <w:r>
        <w:t xml:space="preserve">The convergence of these provisions with the traditional function of dispute resolution institutions is difficult to overstate. When a statute requires</w:t>
      </w:r>
      <w:r>
        <w:t xml:space="preserve"> </w:t>
      </w:r>
      <w:r>
        <w:t xml:space="preserve">“</w:t>
      </w:r>
      <w:r>
        <w:t xml:space="preserve">meaningful human review</w:t>
      </w:r>
      <w:r>
        <w:t xml:space="preserve">”</w:t>
      </w:r>
      <w:r>
        <w:t xml:space="preserve"> </w:t>
      </w:r>
      <w:r>
        <w:t xml:space="preserve">of an algorithmic decision, or when a consumer exercises a right to challenge an AI-influenced outcome, the question becomes:</w:t>
      </w:r>
      <w:r>
        <w:t xml:space="preserve"> </w:t>
      </w:r>
      <w:r>
        <w:rPr>
          <w:bCs/>
          <w:b/>
        </w:rPr>
        <w:t xml:space="preserve">where does that challenge go?</w:t>
      </w:r>
    </w:p>
    <w:p>
      <w:pPr>
        <w:pStyle w:val="BodyText"/>
      </w:pPr>
      <w:r>
        <w:t xml:space="preserve">Courts are one answer, but they are slow, expensive, and ill-suited to the technical specificity of many AI disputes. ADR institutions — with their existing infrastructure for neutral selection, confidential proceedings, technical expertise, and structured resolution — are positioned to provide exactly the kind of forum these statutes contemplate.</w:t>
      </w:r>
    </w:p>
    <w:p>
      <w:pPr>
        <w:pStyle w:val="BodyText"/>
      </w:pPr>
      <w:r>
        <w:t xml:space="preserve">JAMS, for example, has published its</w:t>
      </w:r>
      <w:r>
        <w:t xml:space="preserve"> </w:t>
      </w:r>
      <w:hyperlink r:id="rId38">
        <w:r>
          <w:rPr>
            <w:rStyle w:val="Hyperlink"/>
          </w:rPr>
          <w:t xml:space="preserve">Artificial Intelligence Dispute Clause and Rules</w:t>
        </w:r>
      </w:hyperlink>
      <w:r>
        <w:t xml:space="preserve"> </w:t>
      </w:r>
      <w:r>
        <w:t xml:space="preserve">(effective June 14, 2024), which address the distinctive features of AI disputes: proprietary algorithms, data privacy, specialised discovery in secure environments, and arbitrator selection based on technical expertise. Its neutrals have published extensively on the practical and ethical dimensions of AI in proceedings throughout 2026, covering topics from the boundaries between AI assistance and decision-making to the emerging category of</w:t>
      </w:r>
      <w:r>
        <w:t xml:space="preserve"> </w:t>
      </w:r>
      <w:r>
        <w:t xml:space="preserve">“</w:t>
      </w:r>
      <w:r>
        <w:t xml:space="preserve">AI-on-AI</w:t>
      </w:r>
      <w:r>
        <w:t xml:space="preserve">”</w:t>
      </w:r>
      <w:r>
        <w:t xml:space="preserve"> </w:t>
      </w:r>
      <w:r>
        <w:t xml:space="preserve">disputes.</w:t>
      </w:r>
    </w:p>
    <w:p>
      <w:pPr>
        <w:pStyle w:val="BodyText"/>
      </w:pPr>
      <w:r>
        <w:t xml:space="preserve">The Chartered Institute of Arbitrators (CIArb) has issued updated guidelines emphasising that arbitrators must exercise independent judgment and remain responsible for AI-assisted outputs. The Silicon Valley Arbitration &amp; Mediation Center (SVAMC) and the SCC Arbitration Institute have developed similar guidance.</w:t>
      </w:r>
    </w:p>
    <w:p>
      <w:pPr>
        <w:pStyle w:val="BodyText"/>
      </w:pPr>
      <w:r>
        <w:t xml:space="preserve">These institutional responses are, in one sense, the profession’s own answer to the question regulators are asking:</w:t>
      </w:r>
      <w:r>
        <w:t xml:space="preserve"> </w:t>
      </w:r>
      <w:r>
        <w:rPr>
          <w:bCs/>
          <w:b/>
        </w:rPr>
        <w:t xml:space="preserve">who provides the structured, credible route for challenging an AI-influenced outcome?</w:t>
      </w:r>
    </w:p>
    <w:p>
      <w:r>
        <w:pict>
          <v:rect style="width:0;height:1.5pt" o:hralign="center" o:hrstd="t" o:hr="t"/>
        </w:pict>
      </w:r>
    </w:p>
    <w:bookmarkEnd w:id="39"/>
    <w:bookmarkEnd w:id="40"/>
    <w:bookmarkStart w:id="45" w:name="the-financial-and-commercial-case"/>
    <w:p>
      <w:pPr>
        <w:pStyle w:val="Heading2"/>
      </w:pPr>
      <w:r>
        <w:t xml:space="preserve">5. The Financial and Commercial Case</w:t>
      </w:r>
    </w:p>
    <w:p>
      <w:pPr>
        <w:pStyle w:val="FirstParagraph"/>
      </w:pPr>
      <w:r>
        <w:t xml:space="preserve">Beyond regulatory compliance, there are indicators that the financial and commercial landscape is reinforcing the case for structured AI accountability.</w:t>
      </w:r>
    </w:p>
    <w:bookmarkStart w:id="41" w:name="incident-exposure"/>
    <w:p>
      <w:pPr>
        <w:pStyle w:val="Heading3"/>
      </w:pPr>
      <w:r>
        <w:t xml:space="preserve">Incident exposure</w:t>
      </w:r>
    </w:p>
    <w:p>
      <w:pPr>
        <w:numPr>
          <w:ilvl w:val="0"/>
          <w:numId w:val="1009"/>
        </w:numPr>
        <w:pStyle w:val="Compact"/>
      </w:pPr>
      <w:r>
        <w:t xml:space="preserve">The</w:t>
      </w:r>
      <w:r>
        <w:t xml:space="preserve"> </w:t>
      </w:r>
      <w:r>
        <w:rPr>
          <w:bCs/>
          <w:b/>
        </w:rPr>
        <w:t xml:space="preserve">Hong Kong deepfake fraud</w:t>
      </w:r>
      <w:r>
        <w:t xml:space="preserve"> </w:t>
      </w:r>
      <w:r>
        <w:t xml:space="preserve">(reported February 2024) — in which a finance worker was deceived by AI-generated video into transferring $25 million — illustrates the scale of exposure when AI-assisted processes lack adequate verification.</w:t>
      </w:r>
    </w:p>
    <w:p>
      <w:pPr>
        <w:numPr>
          <w:ilvl w:val="0"/>
          <w:numId w:val="1009"/>
        </w:numPr>
        <w:pStyle w:val="Compact"/>
      </w:pPr>
      <w:r>
        <w:rPr>
          <w:bCs/>
          <w:b/>
        </w:rPr>
        <w:t xml:space="preserve">Multi-agent system failures</w:t>
      </w:r>
      <w:r>
        <w:t xml:space="preserve">, including the July 2026 Hugging Face incident in which autonomous AI agents breached sandbox containment, have shifted the policy conversation from theoretical risk to demonstrated vulnerability.</w:t>
      </w:r>
    </w:p>
    <w:bookmarkEnd w:id="41"/>
    <w:bookmarkStart w:id="42" w:name="litigation-risk"/>
    <w:p>
      <w:pPr>
        <w:pStyle w:val="Heading3"/>
      </w:pPr>
      <w:r>
        <w:t xml:space="preserve">Litigation risk</w:t>
      </w:r>
    </w:p>
    <w:p>
      <w:pPr>
        <w:pStyle w:val="FirstParagraph"/>
      </w:pPr>
      <w:r>
        <w:t xml:space="preserve">Under California’s SB 813, an independent audit is</w:t>
      </w:r>
      <w:r>
        <w:t xml:space="preserve"> </w:t>
      </w:r>
      <w:r>
        <w:t xml:space="preserve">“</w:t>
      </w:r>
      <w:r>
        <w:t xml:space="preserve">relevant to, but not conclusive of</w:t>
      </w:r>
      <w:r>
        <w:t xml:space="preserve">”</w:t>
      </w:r>
      <w:r>
        <w:t xml:space="preserve"> </w:t>
      </w:r>
      <w:r>
        <w:t xml:space="preserve">liability. Organisations that maintain structured evidence of their AI processes will be better positioned in litigation. Conversely, the absence of such records may become a source of adverse inference.</w:t>
      </w:r>
    </w:p>
    <w:bookmarkEnd w:id="42"/>
    <w:bookmarkStart w:id="43" w:name="commercial-access-and-procurement"/>
    <w:p>
      <w:pPr>
        <w:pStyle w:val="Heading3"/>
      </w:pPr>
      <w:r>
        <w:t xml:space="preserve">Commercial access and procurement</w:t>
      </w:r>
    </w:p>
    <w:p>
      <w:pPr>
        <w:pStyle w:val="FirstParagraph"/>
      </w:pPr>
      <w:r>
        <w:t xml:space="preserve">As governance expectations are embedded in procurement requirements, enterprise contracts and partner agreements, the ability to demonstrate independently verified AI accountability is becoming a condition of commercial participation. Organisations that cannot show evidence of control may find their market access constrained — not by regulation, but by the due-diligence requirements of their commercial counterparts.</w:t>
      </w:r>
    </w:p>
    <w:bookmarkEnd w:id="43"/>
    <w:bookmarkStart w:id="44" w:name="insurance"/>
    <w:p>
      <w:pPr>
        <w:pStyle w:val="Heading3"/>
      </w:pPr>
      <w:r>
        <w:t xml:space="preserve">Insurance</w:t>
      </w:r>
    </w:p>
    <w:p>
      <w:pPr>
        <w:pStyle w:val="FirstParagraph"/>
      </w:pPr>
      <w:r>
        <w:t xml:space="preserve">The UK Jurisdiction Taskforce’s consultation on AI liability, and the broader conversation about insurability of AI-related losses, suggest that the insurance market will increasingly differentiate between organisations that can demonstrate governance controls and those that cannot. Premiums, coverage availability and policy terms may all be influenced by the adequacy of an organisation’s AI evidence infrastructure.</w:t>
      </w:r>
    </w:p>
    <w:p>
      <w:r>
        <w:pict>
          <v:rect style="width:0;height:1.5pt" o:hralign="center" o:hrstd="t" o:hr="t"/>
        </w:pict>
      </w:r>
    </w:p>
    <w:bookmarkEnd w:id="44"/>
    <w:bookmarkEnd w:id="45"/>
    <w:bookmarkStart w:id="46" w:name="Xe3fe7413a9f3cfb40e11f7a514ec9689b3ce30f"/>
    <w:p>
      <w:pPr>
        <w:pStyle w:val="Heading2"/>
      </w:pPr>
      <w:r>
        <w:t xml:space="preserve">6. The Governance Framework: Five Factors and a Sixth</w:t>
      </w:r>
    </w:p>
    <w:p>
      <w:pPr>
        <w:pStyle w:val="FirstParagraph"/>
      </w:pPr>
      <w:r>
        <w:t xml:space="preserve">In January 2026, I published an analysis (</w:t>
      </w:r>
      <w:hyperlink r:id="rId32">
        <w:r>
          <w:rPr>
            <w:rStyle w:val="Hyperlink"/>
            <w:iCs/>
            <w:i/>
          </w:rPr>
          <w:t xml:space="preserve">Navigating Federal/State AI Governance and Compliance: Five Factors for Competitive Advantage</w:t>
        </w:r>
      </w:hyperlink>
      <w:r>
        <w:t xml:space="preserve">) arguing that organisations should not wait for federal clarity before building accountability into their AI operations. Nine months later, the framework has been tested by events and refined. The five factors are:</w:t>
      </w:r>
    </w:p>
    <w:p>
      <w:pPr>
        <w:numPr>
          <w:ilvl w:val="0"/>
          <w:numId w:val="1010"/>
        </w:numPr>
        <w:pStyle w:val="Compact"/>
      </w:pPr>
      <w:r>
        <w:rPr>
          <w:bCs/>
          <w:b/>
        </w:rPr>
        <w:t xml:space="preserve">Federal government action</w:t>
      </w:r>
      <w:r>
        <w:t xml:space="preserve"> </w:t>
      </w:r>
      <w:r>
        <w:t xml:space="preserve">— largely voluntary and uncertain, with no comprehensive legislation enacted.</w:t>
      </w:r>
    </w:p>
    <w:p>
      <w:pPr>
        <w:numPr>
          <w:ilvl w:val="0"/>
          <w:numId w:val="1010"/>
        </w:numPr>
        <w:pStyle w:val="Compact"/>
      </w:pPr>
      <w:r>
        <w:rPr>
          <w:bCs/>
          <w:b/>
        </w:rPr>
        <w:t xml:space="preserve">State government action</w:t>
      </w:r>
      <w:r>
        <w:t xml:space="preserve"> </w:t>
      </w:r>
      <w:r>
        <w:t xml:space="preserve">— now spread across California, Colorado, Illinois and New York, with concrete compliance deadlines beginning January 1, 2027.</w:t>
      </w:r>
    </w:p>
    <w:p>
      <w:pPr>
        <w:numPr>
          <w:ilvl w:val="0"/>
          <w:numId w:val="1010"/>
        </w:numPr>
        <w:pStyle w:val="Compact"/>
      </w:pPr>
      <w:r>
        <w:rPr>
          <w:bCs/>
          <w:b/>
        </w:rPr>
        <w:t xml:space="preserve">The market power principle</w:t>
      </w:r>
      <w:r>
        <w:t xml:space="preserve"> </w:t>
      </w:r>
      <w:r>
        <w:t xml:space="preserve">— large organisations subject to the strictest state laws are embedding those requirements into their supply chains, extending their reach nationally.</w:t>
      </w:r>
    </w:p>
    <w:p>
      <w:pPr>
        <w:numPr>
          <w:ilvl w:val="0"/>
          <w:numId w:val="1010"/>
        </w:numPr>
        <w:pStyle w:val="Compact"/>
      </w:pPr>
      <w:r>
        <w:rPr>
          <w:bCs/>
          <w:b/>
        </w:rPr>
        <w:t xml:space="preserve">The financial case</w:t>
      </w:r>
      <w:r>
        <w:t xml:space="preserve"> </w:t>
      </w:r>
      <w:r>
        <w:t xml:space="preserve">— resting on fraud, incidents, litigation exposure and commercial access as much as on penalties.</w:t>
      </w:r>
    </w:p>
    <w:p>
      <w:pPr>
        <w:numPr>
          <w:ilvl w:val="0"/>
          <w:numId w:val="1010"/>
        </w:numPr>
        <w:pStyle w:val="Compact"/>
      </w:pPr>
      <w:r>
        <w:rPr>
          <w:bCs/>
          <w:b/>
        </w:rPr>
        <w:t xml:space="preserve">Governance as an enabler</w:t>
      </w:r>
      <w:r>
        <w:t xml:space="preserve"> </w:t>
      </w:r>
      <w:r>
        <w:t xml:space="preserve">— because independent assurance is now expected from every direction, organisations that can show what their AI did, and who was accountable, move faster with customers, auditors and regulators.</w:t>
      </w:r>
    </w:p>
    <w:p>
      <w:pPr>
        <w:pStyle w:val="FirstParagraph"/>
      </w:pPr>
      <w:r>
        <w:t xml:space="preserve">A</w:t>
      </w:r>
      <w:r>
        <w:t xml:space="preserve"> </w:t>
      </w:r>
      <w:r>
        <w:rPr>
          <w:bCs/>
          <w:b/>
        </w:rPr>
        <w:t xml:space="preserve">suggested sixth factor — people and recourse</w:t>
      </w:r>
      <w:r>
        <w:t xml:space="preserve"> </w:t>
      </w:r>
      <w:r>
        <w:t xml:space="preserve">— recognises that the individuals affected by AI decisions are increasingly the focus of the law. An organisation that can explain a decision and offer a fair route to challenge it is meeting a legal requirement and building trust at the same time.</w:t>
      </w:r>
    </w:p>
    <w:p>
      <w:pPr>
        <w:pStyle w:val="BodyText"/>
      </w:pPr>
      <w:r>
        <w:t xml:space="preserve">For ADR institutions, this framework offers a way to assess their own position: not only as forums that resolve AI disputes, but as organisations that use AI tools and are therefore subject to many of the same governance expectations.</w:t>
      </w:r>
    </w:p>
    <w:p>
      <w:r>
        <w:pict>
          <v:rect style="width:0;height:1.5pt" o:hralign="center" o:hrstd="t" o:hr="t"/>
        </w:pict>
      </w:r>
    </w:p>
    <w:bookmarkEnd w:id="46"/>
    <w:bookmarkStart w:id="47" w:name="dates-to-monitor"/>
    <w:p>
      <w:pPr>
        <w:pStyle w:val="Heading2"/>
      </w:pPr>
      <w:r>
        <w:t xml:space="preserve">7. Dates to Monitor</w:t>
      </w:r>
    </w:p>
    <w:tbl>
      <w:tblPr>
        <w:tblStyle w:val="Table"/>
        <w:tblW w:type="pct" w:w="5000"/>
        <w:tblLook w:firstRow="1" w:lastRow="0" w:firstColumn="0" w:lastColumn="0" w:noHBand="0" w:noVBand="0" w:val="0020"/>
      </w:tblPr>
      <w:tblGrid>
        <w:gridCol w:w="2501"/>
        <w:gridCol w:w="5418"/>
      </w:tblGrid>
      <w:tr>
        <w:trPr>
          <w:tblHeader w:val="true"/>
        </w:trPr>
        <w:tc>
          <w:tcPr/>
          <w:p>
            <w:pPr>
              <w:pStyle w:val="Compact"/>
              <w:jc w:val="left"/>
            </w:pPr>
            <w:r>
              <w:t xml:space="preserve">Date</w:t>
            </w:r>
          </w:p>
        </w:tc>
        <w:tc>
          <w:tcPr/>
          <w:p>
            <w:pPr>
              <w:pStyle w:val="Compact"/>
              <w:jc w:val="left"/>
            </w:pPr>
            <w:r>
              <w:t xml:space="preserve">Development</w:t>
            </w:r>
          </w:p>
        </w:tc>
      </w:tr>
      <w:tr>
        <w:tc>
          <w:tcPr/>
          <w:p>
            <w:pPr>
              <w:pStyle w:val="Compact"/>
              <w:jc w:val="left"/>
            </w:pPr>
            <w:r>
              <w:rPr>
                <w:bCs/>
                <w:b/>
              </w:rPr>
              <w:t xml:space="preserve">October 26, 2026</w:t>
            </w:r>
          </w:p>
        </w:tc>
        <w:tc>
          <w:tcPr/>
          <w:p>
            <w:pPr>
              <w:pStyle w:val="Compact"/>
              <w:jc w:val="left"/>
            </w:pPr>
            <w:r>
              <w:t xml:space="preserve">Deadline for public comment on Colorado’s ADMT rules</w:t>
            </w:r>
          </w:p>
        </w:tc>
      </w:tr>
      <w:tr>
        <w:tc>
          <w:tcPr/>
          <w:p>
            <w:pPr>
              <w:pStyle w:val="Compact"/>
              <w:jc w:val="left"/>
            </w:pPr>
            <w:r>
              <w:rPr>
                <w:bCs/>
                <w:b/>
              </w:rPr>
              <w:t xml:space="preserve">November 16, 2026</w:t>
            </w:r>
          </w:p>
        </w:tc>
        <w:tc>
          <w:tcPr/>
          <w:p>
            <w:pPr>
              <w:pStyle w:val="Compact"/>
              <w:jc w:val="left"/>
            </w:pPr>
            <w:r>
              <w:t xml:space="preserve">California expert recommendations due on AI oversight implementation</w:t>
            </w:r>
          </w:p>
        </w:tc>
      </w:tr>
      <w:tr>
        <w:tc>
          <w:tcPr/>
          <w:p>
            <w:pPr>
              <w:pStyle w:val="Compact"/>
              <w:jc w:val="left"/>
            </w:pPr>
            <w:r>
              <w:rPr>
                <w:bCs/>
                <w:b/>
              </w:rPr>
              <w:t xml:space="preserve">~February 2027</w:t>
            </w:r>
          </w:p>
        </w:tc>
        <w:tc>
          <w:tcPr/>
          <w:p>
            <w:pPr>
              <w:pStyle w:val="Compact"/>
              <w:jc w:val="left"/>
            </w:pPr>
            <w:r>
              <w:t xml:space="preserve">US federal Super Intelligence Force report due (120 days from October 3, 2026)</w:t>
            </w:r>
          </w:p>
        </w:tc>
      </w:tr>
      <w:tr>
        <w:tc>
          <w:tcPr/>
          <w:p>
            <w:pPr>
              <w:pStyle w:val="Compact"/>
              <w:jc w:val="left"/>
            </w:pPr>
            <w:r>
              <w:rPr>
                <w:bCs/>
                <w:b/>
              </w:rPr>
              <w:t xml:space="preserve">January 1, 2027</w:t>
            </w:r>
          </w:p>
        </w:tc>
        <w:tc>
          <w:tcPr/>
          <w:p>
            <w:pPr>
              <w:pStyle w:val="Compact"/>
              <w:jc w:val="left"/>
            </w:pPr>
            <w:r>
              <w:t xml:space="preserve">Colorado SB 26-189 effective; Illinois SB 315 effective; New York RAISE Act effective</w:t>
            </w:r>
          </w:p>
        </w:tc>
      </w:tr>
      <w:tr>
        <w:tc>
          <w:tcPr/>
          <w:p>
            <w:pPr>
              <w:pStyle w:val="Compact"/>
              <w:jc w:val="left"/>
            </w:pPr>
            <w:r>
              <w:rPr>
                <w:bCs/>
                <w:b/>
              </w:rPr>
              <w:t xml:space="preserve">July 1, 2027</w:t>
            </w:r>
          </w:p>
        </w:tc>
        <w:tc>
          <w:tcPr/>
          <w:p>
            <w:pPr>
              <w:pStyle w:val="Compact"/>
              <w:jc w:val="left"/>
            </w:pPr>
            <w:r>
              <w:t xml:space="preserve">California SB 947 (workplace AI) effective</w:t>
            </w:r>
          </w:p>
        </w:tc>
      </w:tr>
      <w:tr>
        <w:tc>
          <w:tcPr/>
          <w:p>
            <w:pPr>
              <w:pStyle w:val="Compact"/>
              <w:jc w:val="left"/>
            </w:pPr>
            <w:r>
              <w:rPr>
                <w:bCs/>
                <w:b/>
              </w:rPr>
              <w:t xml:space="preserve">December 2, 2027</w:t>
            </w:r>
          </w:p>
        </w:tc>
        <w:tc>
          <w:tcPr/>
          <w:p>
            <w:pPr>
              <w:pStyle w:val="Compact"/>
              <w:jc w:val="left"/>
            </w:pPr>
            <w:r>
              <w:t xml:space="preserve">EU AI Act high-risk obligations (stand-alone systems) effective</w:t>
            </w:r>
          </w:p>
        </w:tc>
      </w:tr>
      <w:tr>
        <w:tc>
          <w:tcPr/>
          <w:p>
            <w:pPr>
              <w:pStyle w:val="Compact"/>
              <w:jc w:val="left"/>
            </w:pPr>
            <w:r>
              <w:rPr>
                <w:bCs/>
                <w:b/>
              </w:rPr>
              <w:t xml:space="preserve">January 1, 2028</w:t>
            </w:r>
          </w:p>
        </w:tc>
        <w:tc>
          <w:tcPr/>
          <w:p>
            <w:pPr>
              <w:pStyle w:val="Compact"/>
              <w:jc w:val="left"/>
            </w:pPr>
            <w:r>
              <w:t xml:space="preserve">Illinois mandatory independent audits begin for frontier developers</w:t>
            </w:r>
          </w:p>
        </w:tc>
      </w:tr>
      <w:tr>
        <w:tc>
          <w:tcPr/>
          <w:p>
            <w:pPr>
              <w:pStyle w:val="Compact"/>
              <w:jc w:val="left"/>
            </w:pPr>
            <w:r>
              <w:rPr>
                <w:bCs/>
                <w:b/>
              </w:rPr>
              <w:t xml:space="preserve">August 2, 2028</w:t>
            </w:r>
          </w:p>
        </w:tc>
        <w:tc>
          <w:tcPr/>
          <w:p>
            <w:pPr>
              <w:pStyle w:val="Compact"/>
              <w:jc w:val="left"/>
            </w:pPr>
            <w:r>
              <w:t xml:space="preserve">EU AI Act high-risk obligations (embedded systems) effective</w:t>
            </w:r>
          </w:p>
        </w:tc>
      </w:tr>
      <w:tr>
        <w:tc>
          <w:tcPr/>
          <w:p>
            <w:pPr>
              <w:pStyle w:val="Compact"/>
              <w:jc w:val="left"/>
            </w:pPr>
            <w:r>
              <w:rPr>
                <w:bCs/>
                <w:b/>
              </w:rPr>
              <w:t xml:space="preserve">January 1, 2029</w:t>
            </w:r>
          </w:p>
        </w:tc>
        <w:tc>
          <w:tcPr/>
          <w:p>
            <w:pPr>
              <w:pStyle w:val="Compact"/>
              <w:jc w:val="left"/>
            </w:pPr>
            <w:r>
              <w:t xml:space="preserve">California AI Auditor Registry operational (AB 1405)</w:t>
            </w:r>
          </w:p>
        </w:tc>
      </w:tr>
    </w:tbl>
    <w:p>
      <w:r>
        <w:pict>
          <v:rect style="width:0;height:1.5pt" o:hralign="center" o:hrstd="t" o:hr="t"/>
        </w:pict>
      </w:r>
    </w:p>
    <w:bookmarkEnd w:id="47"/>
    <w:bookmarkStart w:id="48" w:name="conclusion"/>
    <w:p>
      <w:pPr>
        <w:pStyle w:val="Heading2"/>
      </w:pPr>
      <w:r>
        <w:t xml:space="preserve">Conclusion</w:t>
      </w:r>
    </w:p>
    <w:p>
      <w:pPr>
        <w:pStyle w:val="FirstParagraph"/>
      </w:pPr>
      <w:r>
        <w:t xml:space="preserve">The themes identified here — the EU’s high-risk classification of AI in ADR, the convergence on independent verification, the tightening of evidence standards, and the increasing emphasis on individual recourse — are not predictions. They are developments that have already occurred or are on published statutory timetables. Their combined effect is to place dispute resolution institutions closer to the centre of the AI accountability conversation than at any previous point.</w:t>
      </w:r>
    </w:p>
    <w:p>
      <w:pPr>
        <w:pStyle w:val="BodyText"/>
      </w:pPr>
      <w:r>
        <w:t xml:space="preserve">Institutions that are already tracking their AI tool usage, maintaining structured records of how those tools operate, and preparing for the possibility that their processes may come under regulatory scrutiny will be better positioned — whether as forums for AI disputes, as deployers of AI tools, or both.</w:t>
      </w:r>
    </w:p>
    <w:p>
      <w:pPr>
        <w:pStyle w:val="BodyText"/>
      </w:pPr>
      <w:r>
        <w:t xml:space="preserve">Organisations that can show what their AI did, why, and who was accountable will be ready for whichever framework takes hold.</w:t>
      </w:r>
    </w:p>
    <w:p>
      <w:r>
        <w:pict>
          <v:rect style="width:0;height:1.5pt" o:hralign="center" o:hrstd="t" o:hr="t"/>
        </w:pict>
      </w:r>
    </w:p>
    <w:p>
      <w:pPr>
        <w:pStyle w:val="FirstParagraph"/>
      </w:pPr>
      <w:r>
        <w:rPr>
          <w:iCs/>
          <w:i/>
        </w:rPr>
        <w:t xml:space="preserve">This paper provides general information and does not constitute legal advice. Institutions should take advice on the laws that apply to their own roles, systems and jurisdictions. Information is current as of October 2026.</w:t>
      </w:r>
    </w:p>
    <w:p>
      <w:pPr>
        <w:pStyle w:val="BodyText"/>
      </w:pPr>
      <w:r>
        <w:rPr>
          <w:iCs/>
          <w:i/>
        </w:rPr>
        <w:t xml:space="preserve">For the regulatory landscape across the EU, UK and US in more detail, see</w:t>
      </w:r>
      <w:r>
        <w:rPr>
          <w:iCs/>
          <w:i/>
        </w:rPr>
        <w:t xml:space="preserve"> </w:t>
      </w:r>
      <w:hyperlink r:id="rId20">
        <w:r>
          <w:rPr>
            <w:rStyle w:val="Hyperlink"/>
            <w:iCs/>
            <w:i/>
          </w:rPr>
          <w:t xml:space="preserve">regitech.ai/regulatory-landscape</w:t>
        </w:r>
      </w:hyperlink>
      <w:r>
        <w:rPr>
          <w:iCs/>
          <w:i/>
        </w:rPr>
        <w:t xml:space="preserve">. My October 2026 update on Federal/State AI governance is available on request.</w:t>
      </w:r>
    </w:p>
    <w:p>
      <w:r>
        <w:pict>
          <v:rect style="width:0;height:1.5pt" o:hralign="center" o:hrstd="t" o:hr="t"/>
        </w:pict>
      </w:r>
    </w:p>
    <w:p>
      <w:pPr>
        <w:pStyle w:val="FirstParagraph"/>
      </w:pPr>
      <w:r>
        <w:rPr>
          <w:bCs/>
          <w:b/>
        </w:rPr>
        <w:t xml:space="preserve">Ranse Howell</w:t>
      </w:r>
      <w:r>
        <w:t xml:space="preserve"> </w:t>
      </w:r>
      <w:r>
        <w:t xml:space="preserve">is CEO of Regitech and founder of The Unified Sentient. His background spans law, alternative dispute resolution, social policy and the creative arts. He approaches AI governance with an emphasis on stakeholder alignment and on accountability systems that enable innovation rather than restrict it.</w:t>
      </w:r>
    </w:p>
    <w:p>
      <w:pPr>
        <w:pStyle w:val="BodyText"/>
      </w:pPr>
      <w:r>
        <w:t xml:space="preserve">ransehowell@regitech.ai · 202 913 6634 ·</w:t>
      </w:r>
      <w:r>
        <w:t xml:space="preserve"> </w:t>
      </w:r>
      <w:hyperlink r:id="rId32">
        <w:r>
          <w:rPr>
            <w:rStyle w:val="Hyperlink"/>
          </w:rPr>
          <w:t xml:space="preserve">regitech.ai</w:t>
        </w:r>
      </w:hyperlink>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regitech.ai" TargetMode="External" /><Relationship Type="http://schemas.openxmlformats.org/officeDocument/2006/relationships/hyperlink" Id="rId20" Target="https://regitech.ai/regulatory-landscape" TargetMode="External" /><Relationship Type="http://schemas.openxmlformats.org/officeDocument/2006/relationships/hyperlink" Id="rId23" Target="https://www.acerislaw.com/who-bears-responsibility-for-ai-in-arbitration-the-eu-ai-act-and-the-role-of-arbitral-institutions/" TargetMode="External" /><Relationship Type="http://schemas.openxmlformats.org/officeDocument/2006/relationships/hyperlink" Id="rId38" Target="https://www.jamsadr.com/artificial-intelligence-disputes-clause-and-rules" TargetMode="External" /></Relationships>
</file>

<file path=word/_rels/footnotes.xml.rels><?xml version="1.0" encoding="UTF-8"?><Relationships xmlns="http://schemas.openxmlformats.org/package/2006/relationships"><Relationship Type="http://schemas.openxmlformats.org/officeDocument/2006/relationships/hyperlink" Id="rId32" Target="https://regitech.ai" TargetMode="External" /><Relationship Type="http://schemas.openxmlformats.org/officeDocument/2006/relationships/hyperlink" Id="rId20" Target="https://regitech.ai/regulatory-landscape" TargetMode="External" /><Relationship Type="http://schemas.openxmlformats.org/officeDocument/2006/relationships/hyperlink" Id="rId23" Target="https://www.acerislaw.com/who-bears-responsibility-for-ai-in-arbitration-the-eu-ai-act-and-the-role-of-arbitral-institutions/" TargetMode="External" /><Relationship Type="http://schemas.openxmlformats.org/officeDocument/2006/relationships/hyperlink" Id="rId38" Target="https://www.jamsadr.com/artificial-intelligence-disputes-clause-and-rul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2026-10-19T20:36:49Z</dcterms:created>
  <dcterms:modified xsi:type="dcterms:W3CDTF">2026-10-19T20:36:49Z</dcterms:modified>
</cp:coreProperties>
</file>

<file path=docProps/custom.xml><?xml version="1.0" encoding="utf-8"?>
<Properties xmlns="http://schemas.openxmlformats.org/officeDocument/2006/custom-properties" xmlns:vt="http://schemas.openxmlformats.org/officeDocument/2006/docPropsVTypes"/>
</file>