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d5725570b78d6b2107da28728cf9f97ecba376"/>
    <w:p>
      <w:pPr>
        <w:pStyle w:val="Heading1"/>
      </w:pPr>
      <w:r>
        <w:t xml:space="preserve">AI Governance and Evidence in Dispute Resolution: An Update for ADR Institutions</w:t>
      </w:r>
    </w:p>
    <w:p>
      <w:pPr>
        <w:pStyle w:val="FirstParagraph"/>
      </w:pPr>
      <w:r>
        <w:rPr>
          <w:bCs/>
          <w:b/>
        </w:rPr>
        <w:t xml:space="preserve">Ranse Howell — October 2026</w:t>
      </w:r>
    </w:p>
    <w:p>
      <w:r>
        <w:pict>
          <v:rect style="width:0;height:1.5pt" o:hralign="center" o:hrstd="t" o:hr="t"/>
        </w:pict>
      </w:r>
    </w:p>
    <w:p>
      <w:pPr>
        <w:pStyle w:val="FirstParagraph"/>
      </w:pPr>
      <w:r>
        <w:t xml:space="preserve">Several themes have emerged this year that are likely to be of interest to institutions involved in alternative dispute resolution, whether based in the United States, the United Kingdom or Europe. This note summarises them briefly. A longer companion piece is available for those who would like the detail.</w:t>
      </w:r>
    </w:p>
    <w:p>
      <w:r>
        <w:pict>
          <v:rect style="width:0;height:1.5pt" o:hralign="center" o:hrstd="t" o:hr="t"/>
        </w:pict>
      </w:r>
    </w:p>
    <w:bookmarkStart w:id="20" w:name="X47e57d080792f3f130d6f300d5dbb50dc7ad9e0"/>
    <w:p>
      <w:pPr>
        <w:pStyle w:val="Heading3"/>
      </w:pPr>
      <w:r>
        <w:t xml:space="preserve">1. The EU AI Act now classifies AI used in ADR as high-risk</w:t>
      </w:r>
    </w:p>
    <w:p>
      <w:pPr>
        <w:pStyle w:val="FirstParagraph"/>
      </w:pPr>
      <w:r>
        <w:t xml:space="preserve">The European Union’s AI Act (Regulation 2024/1689) treats AI systems used by ADR bodies to research facts, interpret law or apply law to facts as</w:t>
      </w:r>
      <w:r>
        <w:t xml:space="preserve"> </w:t>
      </w:r>
      <w:r>
        <w:rPr>
          <w:bCs/>
          <w:b/>
        </w:rPr>
        <w:t xml:space="preserve">high-risk</w:t>
      </w:r>
      <w:r>
        <w:t xml:space="preserve"> </w:t>
      </w:r>
      <w:r>
        <w:t xml:space="preserve">under Annex III, where the proceedings produce binding legal effects. The European Commission’s May 2026 Draft Guidelines confirmed that arbitration falls within this scope. Compliance obligations for high-risk systems — including human oversight, log retention, technical documentation and provider due diligence — apply from</w:t>
      </w:r>
      <w:r>
        <w:t xml:space="preserve"> </w:t>
      </w:r>
      <w:r>
        <w:rPr>
          <w:bCs/>
          <w:b/>
        </w:rPr>
        <w:t xml:space="preserve">December 2, 2027</w:t>
      </w:r>
      <w:r>
        <w:t xml:space="preserve"> </w:t>
      </w:r>
      <w:r>
        <w:t xml:space="preserve">for stand-alone systems and</w:t>
      </w:r>
      <w:r>
        <w:t xml:space="preserve"> </w:t>
      </w:r>
      <w:r>
        <w:rPr>
          <w:bCs/>
          <w:b/>
        </w:rPr>
        <w:t xml:space="preserve">August 2, 2028</w:t>
      </w:r>
      <w:r>
        <w:t xml:space="preserve"> </w:t>
      </w:r>
      <w:r>
        <w:t xml:space="preserve">for those embedded in broader products.</w:t>
      </w:r>
    </w:p>
    <w:p>
      <w:pPr>
        <w:pStyle w:val="BodyText"/>
      </w:pPr>
      <w:r>
        <w:t xml:space="preserve">In July 2026, sixteen international arbitral institutions (including the ICC, LCIA, AAA-ICDR and ICSID) wrote jointly to the Commission, arguing that their administrative role should not attract the same regulatory burdens as the adjudicative function, which rests with the tribunal. This debate over who qualifies as the regulated</w:t>
      </w:r>
      <w:r>
        <w:t xml:space="preserve"> </w:t>
      </w:r>
      <w:r>
        <w:t xml:space="preserve">“</w:t>
      </w:r>
      <w:r>
        <w:t xml:space="preserve">ADR body</w:t>
      </w:r>
      <w:r>
        <w:t xml:space="preserve">”</w:t>
      </w:r>
      <w:r>
        <w:t xml:space="preserve"> </w:t>
      </w:r>
      <w:r>
        <w:t xml:space="preserve">remains unresolved.</w:t>
      </w:r>
    </w:p>
    <w:p>
      <w:pPr>
        <w:pStyle w:val="BodyText"/>
      </w:pPr>
      <w:r>
        <w:t xml:space="preserve">For any institution whose neutrals hear matters involving EU parties or whose awards may be enforced within the EU, the Act’s extraterritorial reach makes these questions immediate rather than theoretical.</w:t>
      </w:r>
    </w:p>
    <w:bookmarkEnd w:id="20"/>
    <w:bookmarkStart w:id="21" w:name="X893a41e87f111375fefe47b34b0b832a2ba3d75"/>
    <w:p>
      <w:pPr>
        <w:pStyle w:val="Heading3"/>
      </w:pPr>
      <w:r>
        <w:t xml:space="preserve">2. Independent verification is becoming a regulatory default</w:t>
      </w:r>
    </w:p>
    <w:p>
      <w:pPr>
        <w:pStyle w:val="FirstParagraph"/>
      </w:pPr>
      <w:r>
        <w:t xml:space="preserve">A consistent indicator across jurisdictions is the emergence of independent, third-party verification as a statutory requirement rather than a voluntary aspiration:</w:t>
      </w:r>
    </w:p>
    <w:p>
      <w:pPr>
        <w:numPr>
          <w:ilvl w:val="0"/>
          <w:numId w:val="1001"/>
        </w:numPr>
        <w:pStyle w:val="Compact"/>
      </w:pPr>
      <w:r>
        <w:rPr>
          <w:bCs/>
          <w:b/>
        </w:rPr>
        <w:t xml:space="preserve">Illinois SB 315</w:t>
      </w:r>
      <w:r>
        <w:t xml:space="preserve"> </w:t>
      </w:r>
      <w:r>
        <w:t xml:space="preserve">(signed July 2026, effective January 1, 2027) requires frontier AI developers to submit to annual independent audits — the first US state law to mandate this.</w:t>
      </w:r>
    </w:p>
    <w:p>
      <w:pPr>
        <w:numPr>
          <w:ilvl w:val="0"/>
          <w:numId w:val="1001"/>
        </w:numPr>
        <w:pStyle w:val="Compact"/>
      </w:pPr>
      <w:r>
        <w:rPr>
          <w:bCs/>
          <w:b/>
        </w:rPr>
        <w:t xml:space="preserve">California SB 813 and AB 1405</w:t>
      </w:r>
      <w:r>
        <w:t xml:space="preserve"> </w:t>
      </w:r>
      <w:r>
        <w:t xml:space="preserve">(signed September 2026) establish criteria for Independent Verification Organisations and a public AI Auditor Registry, creating the first state-level infrastructure for qualifying who may audit AI systems.</w:t>
      </w:r>
    </w:p>
    <w:p>
      <w:pPr>
        <w:numPr>
          <w:ilvl w:val="0"/>
          <w:numId w:val="1001"/>
        </w:numPr>
        <w:pStyle w:val="Compact"/>
      </w:pPr>
      <w:r>
        <w:rPr>
          <w:bCs/>
          <w:b/>
        </w:rPr>
        <w:t xml:space="preserve">The UK</w:t>
      </w:r>
      <w:r>
        <w:t xml:space="preserve"> </w:t>
      </w:r>
      <w:r>
        <w:t xml:space="preserve">has signalled a potential Statutory AI Bill for 2026 following the limits of the voluntary testing model. Parliament’s October 2026 hearing with frontier lab developers examined whether pre-release safety testing should become legally mandatory.</w:t>
      </w:r>
    </w:p>
    <w:p>
      <w:pPr>
        <w:numPr>
          <w:ilvl w:val="0"/>
          <w:numId w:val="1001"/>
        </w:numPr>
        <w:pStyle w:val="Compact"/>
      </w:pPr>
      <w:r>
        <w:rPr>
          <w:bCs/>
          <w:b/>
        </w:rPr>
        <w:t xml:space="preserve">Federal proposals</w:t>
      </w:r>
      <w:r>
        <w:t xml:space="preserve"> </w:t>
      </w:r>
      <w:r>
        <w:t xml:space="preserve">in the US — including the FRONTIER Act, the AI Systems Transparency Act and the Great American AI Act — each incorporate some form of licensed or independent verification requirement, though none has yet been enacted.</w:t>
      </w:r>
    </w:p>
    <w:p>
      <w:pPr>
        <w:pStyle w:val="FirstParagraph"/>
      </w:pPr>
      <w:r>
        <w:t xml:space="preserve">The common thread is that self-attestation is no longer considered sufficient. The question shifting to ADR institutions is whether their own use of AI tools — in case management, research, document review or scheduling — may eventually fall under one or more of these frameworks, depending on the nature and impact of the tool.</w:t>
      </w:r>
    </w:p>
    <w:bookmarkEnd w:id="21"/>
    <w:bookmarkStart w:id="22" w:name="evidence-requirements-are-converging"/>
    <w:p>
      <w:pPr>
        <w:pStyle w:val="Heading3"/>
      </w:pPr>
      <w:r>
        <w:t xml:space="preserve">3. Evidence requirements are converging</w:t>
      </w:r>
    </w:p>
    <w:p>
      <w:pPr>
        <w:pStyle w:val="FirstParagraph"/>
      </w:pPr>
      <w:r>
        <w:t xml:space="preserve">What constitutes adequate evidence of an AI-assisted process is becoming more defined across multiple regulatory tracks:</w:t>
      </w:r>
    </w:p>
    <w:p>
      <w:pPr>
        <w:numPr>
          <w:ilvl w:val="0"/>
          <w:numId w:val="1002"/>
        </w:numPr>
        <w:pStyle w:val="Compact"/>
      </w:pPr>
      <w:r>
        <w:rPr>
          <w:bCs/>
          <w:b/>
        </w:rPr>
        <w:t xml:space="preserve">Content provenance</w:t>
      </w:r>
      <w:r>
        <w:t xml:space="preserve"> </w:t>
      </w:r>
      <w:r>
        <w:t xml:space="preserve">(the C2PA standard for cryptographically sealed origin records) is now accepted in some US federal courts under Rule 901 and is integrated into platforms including LinkedIn, YouTube and TikTok.</w:t>
      </w:r>
    </w:p>
    <w:p>
      <w:pPr>
        <w:numPr>
          <w:ilvl w:val="0"/>
          <w:numId w:val="1002"/>
        </w:numPr>
        <w:pStyle w:val="Compact"/>
      </w:pPr>
      <w:r>
        <w:rPr>
          <w:bCs/>
          <w:b/>
        </w:rPr>
        <w:t xml:space="preserve">Record retention</w:t>
      </w:r>
      <w:r>
        <w:t xml:space="preserve"> </w:t>
      </w:r>
      <w:r>
        <w:t xml:space="preserve">is specified in several statutes: Colorado’s SB 26-189 requires three years of compliance records; the EU AI Act mandates at least six months of system logs for high-risk applications.</w:t>
      </w:r>
    </w:p>
    <w:p>
      <w:pPr>
        <w:numPr>
          <w:ilvl w:val="0"/>
          <w:numId w:val="1002"/>
        </w:numPr>
        <w:pStyle w:val="Compact"/>
      </w:pPr>
      <w:r>
        <w:rPr>
          <w:bCs/>
          <w:b/>
        </w:rPr>
        <w:t xml:space="preserve">Explainability</w:t>
      </w:r>
      <w:r>
        <w:t xml:space="preserve"> </w:t>
      </w:r>
      <w:r>
        <w:t xml:space="preserve">— the ability to describe why a system produced a particular outcome — features in Colorado’s consumer-facing disclosure requirements and in the EU’s high-risk transparency obligations.</w:t>
      </w:r>
    </w:p>
    <w:p>
      <w:pPr>
        <w:pStyle w:val="FirstParagraph"/>
      </w:pPr>
      <w:r>
        <w:t xml:space="preserve">For ADR institutions, the implication is that the standard of evidence for AI-assisted processes will increasingly be set by statute rather than by institutional convention. Organisations that already maintain structured records of how their AI tools operate — which system ran, what it produced, and who reviewed the output — will be better positioned as these standards take effect.</w:t>
      </w:r>
    </w:p>
    <w:bookmarkEnd w:id="22"/>
    <w:bookmarkStart w:id="23" w:name="Xde0d81fd570a91113b2c776012ab3245446175e"/>
    <w:p>
      <w:pPr>
        <w:pStyle w:val="Heading3"/>
      </w:pPr>
      <w:r>
        <w:t xml:space="preserve">4. People and recourse are becoming a regulatory focus</w:t>
      </w:r>
    </w:p>
    <w:p>
      <w:pPr>
        <w:pStyle w:val="FirstParagraph"/>
      </w:pPr>
      <w:r>
        <w:t xml:space="preserve">The most recent legislative activity places increasing emphasis on the individual affected by an AI-assisted decision:</w:t>
      </w:r>
    </w:p>
    <w:p>
      <w:pPr>
        <w:numPr>
          <w:ilvl w:val="0"/>
          <w:numId w:val="1003"/>
        </w:numPr>
        <w:pStyle w:val="Compact"/>
      </w:pPr>
      <w:r>
        <w:t xml:space="preserve">Colorado’s SB 26-189 gives consumers notice, explanation, correction and meaningful human review within 30 days of an adverse outcome.</w:t>
      </w:r>
    </w:p>
    <w:p>
      <w:pPr>
        <w:numPr>
          <w:ilvl w:val="0"/>
          <w:numId w:val="1003"/>
        </w:numPr>
        <w:pStyle w:val="Compact"/>
      </w:pPr>
      <w:r>
        <w:t xml:space="preserve">California’s SB 947 gives workers notice and human corroboration for AI-involved employment decisions (effective July 1, 2027).</w:t>
      </w:r>
    </w:p>
    <w:p>
      <w:pPr>
        <w:numPr>
          <w:ilvl w:val="0"/>
          <w:numId w:val="1003"/>
        </w:numPr>
        <w:pStyle w:val="Compact"/>
      </w:pPr>
      <w:r>
        <w:t xml:space="preserve">The EU AI Act’s Article 50 transparency obligations — requiring parties to be informed when they are interacting with an AI system — have applied since August 2, 2026.</w:t>
      </w:r>
    </w:p>
    <w:p>
      <w:pPr>
        <w:pStyle w:val="FirstParagraph"/>
      </w:pPr>
      <w:r>
        <w:t xml:space="preserve">For dispute resolution institutions, this trend intersects directly with their core function. The ability to offer a structured, credible route for challenging an AI-influenced outcome is not just a regulatory requirement — it is a service that these institutions are uniquely equipped to provide.</w:t>
      </w:r>
    </w:p>
    <w:bookmarkEnd w:id="23"/>
    <w:bookmarkStart w:id="25" w:name="the-regulatory-calendar-ahead"/>
    <w:p>
      <w:pPr>
        <w:pStyle w:val="Heading3"/>
      </w:pPr>
      <w:r>
        <w:t xml:space="preserve">5. The regulatory calendar ahead</w:t>
      </w:r>
    </w:p>
    <w:p>
      <w:pPr>
        <w:pStyle w:val="FirstParagraph"/>
      </w:pPr>
      <w:r>
        <w:t xml:space="preserve">Key dates for ADR institutions tracking these developments:</w:t>
      </w:r>
    </w:p>
    <w:tbl>
      <w:tblPr>
        <w:tblStyle w:val="Table"/>
        <w:tblW w:type="pct" w:w="5000"/>
        <w:tblLook w:firstRow="1" w:lastRow="0" w:firstColumn="0" w:lastColumn="0" w:noHBand="0" w:noVBand="0" w:val="0020"/>
      </w:tblPr>
      <w:tblGrid>
        <w:gridCol w:w="2501"/>
        <w:gridCol w:w="5418"/>
      </w:tblGrid>
      <w:tr>
        <w:trPr>
          <w:tblHeader w:val="true"/>
        </w:trPr>
        <w:tc>
          <w:tcPr/>
          <w:p>
            <w:pPr>
              <w:pStyle w:val="Compact"/>
              <w:jc w:val="left"/>
            </w:pPr>
            <w:r>
              <w:t xml:space="preserve">Date</w:t>
            </w:r>
          </w:p>
        </w:tc>
        <w:tc>
          <w:tcPr/>
          <w:p>
            <w:pPr>
              <w:pStyle w:val="Compact"/>
              <w:jc w:val="left"/>
            </w:pPr>
            <w:r>
              <w:t xml:space="preserve">Development</w:t>
            </w:r>
          </w:p>
        </w:tc>
      </w:tr>
      <w:tr>
        <w:tc>
          <w:tcPr/>
          <w:p>
            <w:pPr>
              <w:pStyle w:val="Compact"/>
              <w:jc w:val="left"/>
            </w:pPr>
            <w:r>
              <w:rPr>
                <w:bCs/>
                <w:b/>
              </w:rPr>
              <w:t xml:space="preserve">January 1, 2027</w:t>
            </w:r>
          </w:p>
        </w:tc>
        <w:tc>
          <w:tcPr/>
          <w:p>
            <w:pPr>
              <w:pStyle w:val="Compact"/>
              <w:jc w:val="left"/>
            </w:pPr>
            <w:r>
              <w:t xml:space="preserve">Colorado SB 26-189 effective; Illinois SB 315 effective; New York RAISE Act effective</w:t>
            </w:r>
          </w:p>
        </w:tc>
      </w:tr>
      <w:tr>
        <w:tc>
          <w:tcPr/>
          <w:p>
            <w:pPr>
              <w:pStyle w:val="Compact"/>
              <w:jc w:val="left"/>
            </w:pPr>
            <w:r>
              <w:rPr>
                <w:bCs/>
                <w:b/>
              </w:rPr>
              <w:t xml:space="preserve">July 1, 2027</w:t>
            </w:r>
          </w:p>
        </w:tc>
        <w:tc>
          <w:tcPr/>
          <w:p>
            <w:pPr>
              <w:pStyle w:val="Compact"/>
              <w:jc w:val="left"/>
            </w:pPr>
            <w:r>
              <w:t xml:space="preserve">California SB 947 (workplace AI) effective</w:t>
            </w:r>
          </w:p>
        </w:tc>
      </w:tr>
      <w:tr>
        <w:tc>
          <w:tcPr/>
          <w:p>
            <w:pPr>
              <w:pStyle w:val="Compact"/>
              <w:jc w:val="left"/>
            </w:pPr>
            <w:r>
              <w:rPr>
                <w:bCs/>
                <w:b/>
              </w:rPr>
              <w:t xml:space="preserve">December 2, 2027</w:t>
            </w:r>
          </w:p>
        </w:tc>
        <w:tc>
          <w:tcPr/>
          <w:p>
            <w:pPr>
              <w:pStyle w:val="Compact"/>
              <w:jc w:val="left"/>
            </w:pPr>
            <w:r>
              <w:t xml:space="preserve">EU AI Act high-risk obligations (stand-alone systems)</w:t>
            </w:r>
          </w:p>
        </w:tc>
      </w:tr>
      <w:tr>
        <w:tc>
          <w:tcPr/>
          <w:p>
            <w:pPr>
              <w:pStyle w:val="Compact"/>
              <w:jc w:val="left"/>
            </w:pPr>
            <w:r>
              <w:rPr>
                <w:bCs/>
                <w:b/>
              </w:rPr>
              <w:t xml:space="preserve">January 1, 2028</w:t>
            </w:r>
          </w:p>
        </w:tc>
        <w:tc>
          <w:tcPr/>
          <w:p>
            <w:pPr>
              <w:pStyle w:val="Compact"/>
              <w:jc w:val="left"/>
            </w:pPr>
            <w:r>
              <w:t xml:space="preserve">Illinois mandatory independent audits begin</w:t>
            </w:r>
          </w:p>
        </w:tc>
      </w:tr>
      <w:tr>
        <w:tc>
          <w:tcPr/>
          <w:p>
            <w:pPr>
              <w:pStyle w:val="Compact"/>
              <w:jc w:val="left"/>
            </w:pPr>
            <w:r>
              <w:rPr>
                <w:bCs/>
                <w:b/>
              </w:rPr>
              <w:t xml:space="preserve">August 2, 2028</w:t>
            </w:r>
          </w:p>
        </w:tc>
        <w:tc>
          <w:tcPr/>
          <w:p>
            <w:pPr>
              <w:pStyle w:val="Compact"/>
              <w:jc w:val="left"/>
            </w:pPr>
            <w:r>
              <w:t xml:space="preserve">EU AI Act high-risk obligations (embedded systems)</w:t>
            </w:r>
          </w:p>
        </w:tc>
      </w:tr>
      <w:tr>
        <w:tc>
          <w:tcPr/>
          <w:p>
            <w:pPr>
              <w:pStyle w:val="Compact"/>
              <w:jc w:val="left"/>
            </w:pPr>
            <w:r>
              <w:rPr>
                <w:bCs/>
                <w:b/>
              </w:rPr>
              <w:t xml:space="preserve">January 1, 2029</w:t>
            </w:r>
          </w:p>
        </w:tc>
        <w:tc>
          <w:tcPr/>
          <w:p>
            <w:pPr>
              <w:pStyle w:val="Compact"/>
              <w:jc w:val="left"/>
            </w:pPr>
            <w:r>
              <w:t xml:space="preserve">California AI Auditor Registry operational</w:t>
            </w:r>
          </w:p>
        </w:tc>
      </w:tr>
    </w:tbl>
    <w:p>
      <w:r>
        <w:pict>
          <v:rect style="width:0;height:1.5pt" o:hralign="center" o:hrstd="t" o:hr="t"/>
        </w:pict>
      </w:r>
    </w:p>
    <w:p>
      <w:pPr>
        <w:pStyle w:val="FirstParagraph"/>
      </w:pPr>
      <w:r>
        <w:rPr>
          <w:iCs/>
          <w:i/>
        </w:rPr>
        <w:t xml:space="preserve">This note provides general information and does not constitute legal advice. Institutions should take advice on the laws that apply to their own roles, systems and jurisdictions. Information is current as of October 2026.</w:t>
      </w:r>
    </w:p>
    <w:p>
      <w:pPr>
        <w:pStyle w:val="BodyText"/>
      </w:pPr>
      <w:r>
        <w:rPr>
          <w:iCs/>
          <w:i/>
        </w:rPr>
        <w:t xml:space="preserve">A more detailed analysis of these themes — including the US federal landscape, the UK’s regulatory position, and the financial and commercial implications — is available as a companion piece.</w:t>
      </w:r>
    </w:p>
    <w:p>
      <w:pPr>
        <w:pStyle w:val="BodyText"/>
      </w:pPr>
      <w:r>
        <w:rPr>
          <w:bCs/>
          <w:b/>
        </w:rPr>
        <w:t xml:space="preserve">Ranse Howell</w:t>
      </w:r>
      <w:r>
        <w:t xml:space="preserve"> </w:t>
      </w:r>
      <w:r>
        <w:t xml:space="preserve">is CEO of Regitech and founder of The Unified Sentient. His background spans law, alternative dispute resolution, social policy and the creative arts. He approaches AI governance with an emphasis on stakeholder alignment and on accountability systems that enable innovation rather than restrict it.</w:t>
      </w:r>
    </w:p>
    <w:p>
      <w:pPr>
        <w:pStyle w:val="BodyText"/>
      </w:pPr>
      <w:r>
        <w:t xml:space="preserve">ransehowell@regitech.ai · 202 913 6634 ·</w:t>
      </w:r>
      <w:r>
        <w:t xml:space="preserve"> </w:t>
      </w:r>
      <w:hyperlink r:id="rId24">
        <w:r>
          <w:rPr>
            <w:rStyle w:val="Hyperlink"/>
          </w:rPr>
          <w:t xml:space="preserve">regitech.ai</w:t>
        </w:r>
      </w:hyperlink>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regitech.ai" TargetMode="External" /></Relationships>
</file>

<file path=word/_rels/footnotes.xml.rels><?xml version="1.0" encoding="UTF-8"?><Relationships xmlns="http://schemas.openxmlformats.org/package/2006/relationships"><Relationship Type="http://schemas.openxmlformats.org/officeDocument/2006/relationships/hyperlink" Id="rId24" Target="https://regitech.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2026-10-19T20:34:40Z</dcterms:created>
  <dcterms:modified xsi:type="dcterms:W3CDTF">2026-10-19T20:34:40Z</dcterms:modified>
</cp:coreProperties>
</file>

<file path=docProps/custom.xml><?xml version="1.0" encoding="utf-8"?>
<Properties xmlns="http://schemas.openxmlformats.org/officeDocument/2006/custom-properties" xmlns:vt="http://schemas.openxmlformats.org/officeDocument/2006/docPropsVTypes"/>
</file>